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B528" w14:textId="77777777" w:rsidR="003A304E" w:rsidRPr="00DB4D3E" w:rsidRDefault="003A304E" w:rsidP="003A304E">
      <w:pPr>
        <w:rPr>
          <w:color w:val="FF0000"/>
        </w:rPr>
      </w:pPr>
    </w:p>
    <w:p w14:paraId="68558DC1" w14:textId="77777777" w:rsidR="00C55010" w:rsidRPr="003A304E" w:rsidRDefault="00207870" w:rsidP="003135F9">
      <w:r w:rsidRPr="003A304E">
        <w:t>T</w:t>
      </w:r>
      <w:r w:rsidR="00C55010" w:rsidRPr="003A304E">
        <w:t xml:space="preserve">he </w:t>
      </w:r>
      <w:r w:rsidR="003135F9">
        <w:t>o</w:t>
      </w:r>
      <w:r w:rsidR="00C55010" w:rsidRPr="003A304E">
        <w:t>rganization</w:t>
      </w:r>
      <w:r w:rsidR="00473BE0">
        <w:t xml:space="preserve"> </w:t>
      </w:r>
      <w:r w:rsidR="00C55010" w:rsidRPr="003A304E">
        <w:t>submits the proposal as required and agrees to carry out the contract in accordance with the regulations, policies</w:t>
      </w:r>
      <w:r w:rsidR="003135F9">
        <w:t>,</w:t>
      </w:r>
      <w:r w:rsidR="00C55010" w:rsidRPr="003A304E">
        <w:t xml:space="preserve"> and procedures prescribed by </w:t>
      </w:r>
      <w:r w:rsidR="00473BE0">
        <w:t>Young at Heart Resources on Aging</w:t>
      </w:r>
      <w:r w:rsidR="00C55010" w:rsidRPr="003A304E">
        <w:t xml:space="preserve"> and the Department of Health &amp; Senior Services (DHSS</w:t>
      </w:r>
      <w:r w:rsidR="00E37567">
        <w:t>.</w:t>
      </w:r>
      <w:r w:rsidR="00C55010" w:rsidRPr="003A304E">
        <w:t>)</w:t>
      </w:r>
    </w:p>
    <w:p w14:paraId="352C173B" w14:textId="77777777" w:rsidR="00C55010" w:rsidRPr="00046F73" w:rsidRDefault="00C55010" w:rsidP="003135F9">
      <w:pPr>
        <w:pStyle w:val="DefaultText"/>
        <w:tabs>
          <w:tab w:val="left" w:pos="-180"/>
        </w:tabs>
        <w:ind w:left="-720" w:right="-720"/>
      </w:pPr>
    </w:p>
    <w:p w14:paraId="7783FE68" w14:textId="77777777" w:rsidR="003A4967" w:rsidRDefault="003A4967" w:rsidP="003135F9">
      <w:pPr>
        <w:pStyle w:val="DefaultText"/>
        <w:tabs>
          <w:tab w:val="left" w:pos="2112"/>
          <w:tab w:val="right" w:pos="7524"/>
        </w:tabs>
        <w:ind w:left="-720" w:right="-720"/>
        <w:rPr>
          <w:b/>
          <w:bCs/>
        </w:rPr>
      </w:pPr>
    </w:p>
    <w:p w14:paraId="1DC3E307" w14:textId="77777777" w:rsidR="009A123F" w:rsidRPr="00DF49ED" w:rsidRDefault="009A123F" w:rsidP="003135F9">
      <w:pPr>
        <w:pStyle w:val="DefaultText"/>
        <w:tabs>
          <w:tab w:val="left" w:pos="2112"/>
          <w:tab w:val="right" w:pos="7524"/>
        </w:tabs>
        <w:ind w:right="-720"/>
        <w:rPr>
          <w:b/>
          <w:bCs/>
          <w:sz w:val="28"/>
        </w:rPr>
      </w:pPr>
      <w:r w:rsidRPr="00DF49ED">
        <w:rPr>
          <w:b/>
          <w:bCs/>
          <w:sz w:val="28"/>
        </w:rPr>
        <w:t>Authority and Capacity</w:t>
      </w:r>
      <w:r w:rsidR="00C05472" w:rsidRPr="00DF49ED">
        <w:rPr>
          <w:b/>
          <w:bCs/>
          <w:sz w:val="28"/>
        </w:rPr>
        <w:t xml:space="preserve"> </w:t>
      </w:r>
    </w:p>
    <w:p w14:paraId="7EE95822" w14:textId="77777777" w:rsidR="009A123F" w:rsidRPr="00046F73" w:rsidRDefault="009A123F" w:rsidP="003135F9">
      <w:pPr>
        <w:pStyle w:val="DefaultText"/>
        <w:ind w:right="-720"/>
      </w:pPr>
    </w:p>
    <w:p w14:paraId="58E71353" w14:textId="77777777" w:rsidR="0055672C" w:rsidRDefault="003A304E" w:rsidP="006A7089">
      <w:pPr>
        <w:pStyle w:val="DefaultText"/>
        <w:tabs>
          <w:tab w:val="left" w:pos="1260"/>
          <w:tab w:val="left" w:pos="1440"/>
        </w:tabs>
        <w:ind w:hanging="540"/>
      </w:pPr>
      <w:r>
        <w:tab/>
      </w:r>
      <w:r w:rsidR="009A123F" w:rsidRPr="00046F73">
        <w:t xml:space="preserve">The </w:t>
      </w:r>
      <w:r w:rsidR="003135F9">
        <w:t>o</w:t>
      </w:r>
      <w:r w:rsidR="00F2767F">
        <w:t>rganization</w:t>
      </w:r>
      <w:r w:rsidR="009A123F" w:rsidRPr="00046F73">
        <w:t xml:space="preserve"> assures that it has the authority and capacity to </w:t>
      </w:r>
      <w:r w:rsidR="00C55010">
        <w:t xml:space="preserve">administer any resulting contract, and </w:t>
      </w:r>
    </w:p>
    <w:p w14:paraId="33DD4479" w14:textId="77777777" w:rsidR="009A123F" w:rsidRPr="00046F73" w:rsidRDefault="003A304E" w:rsidP="006A7089">
      <w:pPr>
        <w:pStyle w:val="DefaultText"/>
        <w:tabs>
          <w:tab w:val="left" w:pos="1260"/>
          <w:tab w:val="left" w:pos="1440"/>
        </w:tabs>
        <w:ind w:hanging="540"/>
      </w:pPr>
      <w:r>
        <w:tab/>
      </w:r>
      <w:r w:rsidR="0055672C">
        <w:t>c</w:t>
      </w:r>
      <w:r w:rsidR="00C55010">
        <w:t>arry</w:t>
      </w:r>
      <w:r w:rsidR="0055672C">
        <w:t xml:space="preserve"> </w:t>
      </w:r>
      <w:r w:rsidR="00C55010">
        <w:t xml:space="preserve">out a </w:t>
      </w:r>
      <w:r w:rsidR="009A123F" w:rsidRPr="00046F73">
        <w:t xml:space="preserve">program pursuant to the </w:t>
      </w:r>
      <w:r w:rsidR="00F2767F">
        <w:t xml:space="preserve">Request for Proposal </w:t>
      </w:r>
      <w:r w:rsidR="009A123F" w:rsidRPr="00046F73">
        <w:t xml:space="preserve">within the </w:t>
      </w:r>
      <w:r w:rsidR="003135F9">
        <w:t>planning and service a</w:t>
      </w:r>
      <w:r w:rsidR="00F2767F">
        <w:t>rea</w:t>
      </w:r>
      <w:r w:rsidR="009A123F" w:rsidRPr="00046F73">
        <w:t xml:space="preserve"> either directly or through contractual or other</w:t>
      </w:r>
      <w:r w:rsidR="00F2767F">
        <w:t xml:space="preserve"> </w:t>
      </w:r>
      <w:r w:rsidR="00C55010">
        <w:t>a</w:t>
      </w:r>
      <w:r w:rsidR="009A123F" w:rsidRPr="00046F73">
        <w:t xml:space="preserve">rrangements. The </w:t>
      </w:r>
      <w:r w:rsidR="003135F9">
        <w:t>o</w:t>
      </w:r>
      <w:r w:rsidR="00F2767F">
        <w:t>rganization</w:t>
      </w:r>
      <w:r w:rsidR="009A123F" w:rsidRPr="00046F73">
        <w:t xml:space="preserve"> has on file articles of incorporation, where appl</w:t>
      </w:r>
      <w:r w:rsidR="00C55010">
        <w:t xml:space="preserve">icable, and these shall be made </w:t>
      </w:r>
      <w:r w:rsidR="00F2767F">
        <w:t>a</w:t>
      </w:r>
      <w:r w:rsidR="009A123F" w:rsidRPr="00046F73">
        <w:t xml:space="preserve">vailable upon request by </w:t>
      </w:r>
      <w:r w:rsidR="00473BE0">
        <w:t>Young at Heart Resources</w:t>
      </w:r>
      <w:r w:rsidR="009A123F" w:rsidRPr="00046F73">
        <w:t>.</w:t>
      </w:r>
    </w:p>
    <w:p w14:paraId="4A98B052" w14:textId="77777777" w:rsidR="00E40BAC" w:rsidRPr="00046F73" w:rsidRDefault="00E40BAC" w:rsidP="003135F9">
      <w:pPr>
        <w:pStyle w:val="DefaultText"/>
        <w:tabs>
          <w:tab w:val="left" w:pos="180"/>
          <w:tab w:val="left" w:pos="696"/>
          <w:tab w:val="left" w:pos="771"/>
        </w:tabs>
        <w:ind w:right="-720"/>
        <w:rPr>
          <w:b/>
          <w:bCs/>
        </w:rPr>
      </w:pPr>
    </w:p>
    <w:p w14:paraId="5EB115E0" w14:textId="77777777" w:rsidR="009A123F" w:rsidRPr="00DF49ED" w:rsidRDefault="009A123F" w:rsidP="003135F9">
      <w:pPr>
        <w:pStyle w:val="DefaultText"/>
        <w:tabs>
          <w:tab w:val="left" w:pos="180"/>
          <w:tab w:val="left" w:pos="696"/>
          <w:tab w:val="left" w:pos="771"/>
        </w:tabs>
        <w:ind w:right="-720"/>
        <w:rPr>
          <w:b/>
          <w:bCs/>
          <w:sz w:val="28"/>
        </w:rPr>
      </w:pPr>
      <w:r w:rsidRPr="00DF49ED">
        <w:rPr>
          <w:b/>
          <w:bCs/>
          <w:sz w:val="28"/>
        </w:rPr>
        <w:t xml:space="preserve">Staffing </w:t>
      </w:r>
    </w:p>
    <w:p w14:paraId="4AA11548" w14:textId="77777777" w:rsidR="009A123F" w:rsidRPr="00046F73" w:rsidRDefault="009A123F" w:rsidP="003135F9">
      <w:pPr>
        <w:pStyle w:val="DefaultText"/>
        <w:tabs>
          <w:tab w:val="left" w:pos="180"/>
          <w:tab w:val="left" w:pos="696"/>
          <w:tab w:val="left" w:pos="771"/>
        </w:tabs>
        <w:ind w:left="-720" w:right="-720"/>
      </w:pPr>
    </w:p>
    <w:p w14:paraId="20BA3C02" w14:textId="56C334CA" w:rsidR="009A123F" w:rsidRPr="00417669" w:rsidRDefault="003A304E" w:rsidP="006A7089">
      <w:pPr>
        <w:pStyle w:val="DefaultText"/>
        <w:tabs>
          <w:tab w:val="left" w:pos="1080"/>
          <w:tab w:val="left" w:pos="1260"/>
        </w:tabs>
        <w:ind w:hanging="720"/>
      </w:pPr>
      <w:r>
        <w:tab/>
      </w:r>
      <w:r w:rsidR="009A123F" w:rsidRPr="00046F73">
        <w:t xml:space="preserve">The </w:t>
      </w:r>
      <w:r w:rsidR="003135F9">
        <w:t>c</w:t>
      </w:r>
      <w:r w:rsidR="00C55010">
        <w:t>ontract</w:t>
      </w:r>
      <w:r w:rsidR="009A123F" w:rsidRPr="00046F73">
        <w:t xml:space="preserve"> will be directed by an individual qualified through education or experience </w:t>
      </w:r>
      <w:r w:rsidR="00E37567">
        <w:t xml:space="preserve">to </w:t>
      </w:r>
      <w:r w:rsidR="0055672C">
        <w:t>carry out the services</w:t>
      </w:r>
      <w:r w:rsidR="003135F9">
        <w:t xml:space="preserve">. </w:t>
      </w:r>
      <w:r w:rsidR="009A123F" w:rsidRPr="00046F73">
        <w:t>Adequate numbers of qualified staff, including members of minority groups, will be</w:t>
      </w:r>
      <w:r w:rsidR="0055672C">
        <w:t xml:space="preserve"> </w:t>
      </w:r>
      <w:r w:rsidR="009A123F" w:rsidRPr="00046F73">
        <w:t>assigned to</w:t>
      </w:r>
      <w:r w:rsidR="006A7089">
        <w:t xml:space="preserve"> </w:t>
      </w:r>
      <w:r w:rsidR="009A123F" w:rsidRPr="00046F73">
        <w:t xml:space="preserve">assure the effective conduct of responsibilities under this </w:t>
      </w:r>
      <w:r w:rsidR="00F2767F">
        <w:t>Request for Proposal</w:t>
      </w:r>
      <w:r w:rsidR="003135F9">
        <w:t>.</w:t>
      </w:r>
      <w:r w:rsidR="00E37567">
        <w:t xml:space="preserve"> </w:t>
      </w:r>
      <w:r w:rsidR="009A123F" w:rsidRPr="00046F73">
        <w:t>Subject to the requirements of merit employment systems of local government, preference will be given to persons aged 60 or over for any</w:t>
      </w:r>
      <w:r w:rsidR="006A7089">
        <w:t xml:space="preserve"> </w:t>
      </w:r>
      <w:r w:rsidR="009A123F" w:rsidRPr="00046F73">
        <w:t xml:space="preserve">staff positions (full or part-time) for which such persons qualify. Job descriptions will be on file at the </w:t>
      </w:r>
      <w:r w:rsidR="003135F9">
        <w:t>o</w:t>
      </w:r>
      <w:r w:rsidR="00F2767F">
        <w:t>rganization’s</w:t>
      </w:r>
      <w:r w:rsidR="0055672C">
        <w:t xml:space="preserve"> central office</w:t>
      </w:r>
      <w:r w:rsidR="009A123F" w:rsidRPr="00046F73">
        <w:t xml:space="preserve"> and shall be made available upon request by </w:t>
      </w:r>
      <w:r w:rsidR="00473BE0">
        <w:t>Young at Heart Resources</w:t>
      </w:r>
      <w:r w:rsidR="009A123F" w:rsidRPr="00046F73">
        <w:t>. The proposed staffing</w:t>
      </w:r>
      <w:r w:rsidR="00473BE0">
        <w:t xml:space="preserve"> p</w:t>
      </w:r>
      <w:r w:rsidR="009A123F" w:rsidRPr="00046F73">
        <w:t xml:space="preserve">lan for the </w:t>
      </w:r>
      <w:r w:rsidR="003135F9">
        <w:t>o</w:t>
      </w:r>
      <w:r w:rsidR="00F2767F">
        <w:t>rganization</w:t>
      </w:r>
      <w:r w:rsidR="0055672C">
        <w:t xml:space="preserve"> which sets forth the number and</w:t>
      </w:r>
      <w:r w:rsidR="009A123F" w:rsidRPr="00046F73">
        <w:t xml:space="preserve"> type of personnel employed will also be on file at the </w:t>
      </w:r>
      <w:r w:rsidR="003135F9">
        <w:t>o</w:t>
      </w:r>
      <w:r w:rsidR="00F2767F">
        <w:t>rganization</w:t>
      </w:r>
      <w:r w:rsidR="0055672C">
        <w:t xml:space="preserve">’s central office </w:t>
      </w:r>
      <w:r w:rsidR="009A123F" w:rsidRPr="00046F73">
        <w:t xml:space="preserve">and be made available upon request. The </w:t>
      </w:r>
      <w:r w:rsidR="003135F9">
        <w:t>o</w:t>
      </w:r>
      <w:r w:rsidR="00F2767F">
        <w:t xml:space="preserve">rganization </w:t>
      </w:r>
      <w:r w:rsidR="009A123F" w:rsidRPr="00046F73">
        <w:t xml:space="preserve">understands and agrees that </w:t>
      </w:r>
      <w:r w:rsidR="0055672C">
        <w:t xml:space="preserve">any </w:t>
      </w:r>
      <w:r w:rsidR="00473BE0">
        <w:t>changes in key personnel require</w:t>
      </w:r>
      <w:r w:rsidR="0055672C">
        <w:t xml:space="preserve"> immediate notification to </w:t>
      </w:r>
      <w:r w:rsidR="00473BE0">
        <w:t>Young at Heart Resources</w:t>
      </w:r>
      <w:r w:rsidR="0055672C">
        <w:t xml:space="preserve"> and submittal of a </w:t>
      </w:r>
      <w:r w:rsidR="00473BE0">
        <w:t>revised</w:t>
      </w:r>
      <w:r w:rsidR="0055672C">
        <w:t xml:space="preserve"> I.2 General</w:t>
      </w:r>
      <w:r w:rsidR="00F2767F">
        <w:t xml:space="preserve"> </w:t>
      </w:r>
      <w:r w:rsidR="0055672C">
        <w:t>Information form</w:t>
      </w:r>
      <w:r w:rsidR="00F2767F">
        <w:t>.</w:t>
      </w:r>
      <w:r w:rsidR="00DB4D3E">
        <w:t xml:space="preserve"> </w:t>
      </w:r>
      <w:r w:rsidR="00DB4D3E" w:rsidRPr="00417669">
        <w:t>In the event of a change of Administrator the Board of the organization will submit the resumes of the final two candidates to YAHR CEO for input before the position is offered to a candidate.</w:t>
      </w:r>
    </w:p>
    <w:p w14:paraId="239CCBD4" w14:textId="77777777" w:rsidR="009A123F" w:rsidRPr="00046F73" w:rsidRDefault="009A123F" w:rsidP="003135F9">
      <w:pPr>
        <w:pStyle w:val="DefaultText"/>
        <w:tabs>
          <w:tab w:val="left" w:pos="0"/>
          <w:tab w:val="left" w:pos="696"/>
          <w:tab w:val="left" w:pos="771"/>
        </w:tabs>
        <w:ind w:right="-720" w:hanging="720"/>
      </w:pPr>
    </w:p>
    <w:p w14:paraId="51445935" w14:textId="77777777" w:rsidR="00E37567" w:rsidRDefault="009A123F" w:rsidP="003135F9">
      <w:pPr>
        <w:pStyle w:val="DefaultText"/>
        <w:tabs>
          <w:tab w:val="left" w:pos="2100"/>
          <w:tab w:val="right" w:pos="7540"/>
        </w:tabs>
        <w:ind w:right="-720"/>
        <w:rPr>
          <w:b/>
          <w:bCs/>
          <w:sz w:val="28"/>
        </w:rPr>
      </w:pPr>
      <w:r w:rsidRPr="00DF49ED">
        <w:rPr>
          <w:b/>
          <w:bCs/>
          <w:sz w:val="28"/>
        </w:rPr>
        <w:t>Standards of Personnel Administration</w:t>
      </w:r>
      <w:r w:rsidR="007F60BE" w:rsidRPr="00DF49ED">
        <w:rPr>
          <w:b/>
          <w:bCs/>
          <w:sz w:val="28"/>
        </w:rPr>
        <w:t xml:space="preserve"> </w:t>
      </w:r>
    </w:p>
    <w:p w14:paraId="461F3440" w14:textId="77777777" w:rsidR="009A123F" w:rsidRPr="00046F73" w:rsidRDefault="007F60BE" w:rsidP="003135F9">
      <w:pPr>
        <w:pStyle w:val="DefaultText"/>
        <w:tabs>
          <w:tab w:val="left" w:pos="2100"/>
          <w:tab w:val="right" w:pos="7540"/>
        </w:tabs>
        <w:ind w:right="-720"/>
        <w:rPr>
          <w:b/>
          <w:bCs/>
        </w:rPr>
      </w:pPr>
      <w:r w:rsidRPr="00DF49ED">
        <w:rPr>
          <w:b/>
          <w:bCs/>
        </w:rPr>
        <w:t>(19 CSR 15-4.120 Affirmative Action/Equal Employment Opportunity/Preference in Hiring)</w:t>
      </w:r>
    </w:p>
    <w:p w14:paraId="3624479A" w14:textId="77777777" w:rsidR="009A123F" w:rsidRPr="00046F73" w:rsidRDefault="009A123F" w:rsidP="003135F9">
      <w:pPr>
        <w:pStyle w:val="DefaultText"/>
        <w:ind w:right="-720"/>
      </w:pPr>
    </w:p>
    <w:p w14:paraId="28DBBC4F" w14:textId="77777777" w:rsidR="0055672C" w:rsidRDefault="003A304E" w:rsidP="006A7089">
      <w:pPr>
        <w:pStyle w:val="DefaultText"/>
        <w:tabs>
          <w:tab w:val="left" w:pos="360"/>
          <w:tab w:val="left" w:pos="540"/>
        </w:tabs>
        <w:ind w:hanging="720"/>
      </w:pPr>
      <w:r>
        <w:tab/>
      </w:r>
      <w:r w:rsidR="009A123F" w:rsidRPr="00046F73">
        <w:t xml:space="preserve">In cases where the </w:t>
      </w:r>
      <w:r w:rsidR="003135F9">
        <w:t>o</w:t>
      </w:r>
      <w:r w:rsidR="00F2767F">
        <w:t>rganization</w:t>
      </w:r>
      <w:r w:rsidR="009A123F" w:rsidRPr="00046F73">
        <w:t xml:space="preserve"> is a public agency, it will establish and maintain methods of personnel </w:t>
      </w:r>
    </w:p>
    <w:p w14:paraId="10D3E29E" w14:textId="77777777" w:rsidR="009A123F" w:rsidRPr="00046F73" w:rsidRDefault="003A304E" w:rsidP="006A7089">
      <w:pPr>
        <w:pStyle w:val="DefaultText"/>
        <w:tabs>
          <w:tab w:val="left" w:pos="360"/>
          <w:tab w:val="left" w:pos="540"/>
        </w:tabs>
        <w:ind w:hanging="720"/>
      </w:pPr>
      <w:r>
        <w:tab/>
        <w:t>a</w:t>
      </w:r>
      <w:r w:rsidR="009A123F" w:rsidRPr="00046F73">
        <w:t xml:space="preserve">dministration, which conform to the Standards for a Merit System of Personnel Administration and any standards prescribed by the US Civil Service Commission pursuant to section 208 of the </w:t>
      </w:r>
      <w:r w:rsidR="00501E29" w:rsidRPr="00046F73">
        <w:t>I</w:t>
      </w:r>
      <w:r w:rsidR="009A123F" w:rsidRPr="00046F73">
        <w:t xml:space="preserve">ntergovernmental Personnel Act of 1970 modifying or superseding such standards. Such methods shall be maintained in the files of the </w:t>
      </w:r>
      <w:r w:rsidR="003135F9">
        <w:t>o</w:t>
      </w:r>
      <w:r w:rsidR="00F2767F">
        <w:t>rganization</w:t>
      </w:r>
      <w:r w:rsidR="0055672C">
        <w:t xml:space="preserve"> </w:t>
      </w:r>
      <w:r w:rsidR="009A123F" w:rsidRPr="00046F73">
        <w:t xml:space="preserve">and shall be made available to </w:t>
      </w:r>
      <w:r w:rsidR="00DF3BC7">
        <w:t>Young at Heart Resources</w:t>
      </w:r>
      <w:r w:rsidR="009A123F" w:rsidRPr="00046F73">
        <w:t xml:space="preserve"> upon request.</w:t>
      </w:r>
    </w:p>
    <w:p w14:paraId="2BA9788E" w14:textId="77777777" w:rsidR="009A123F" w:rsidRPr="00E37567" w:rsidRDefault="009A123F" w:rsidP="003135F9">
      <w:pPr>
        <w:pStyle w:val="DefaultText"/>
        <w:tabs>
          <w:tab w:val="left" w:pos="2664"/>
          <w:tab w:val="right" w:pos="6820"/>
        </w:tabs>
        <w:ind w:right="-720"/>
        <w:rPr>
          <w:sz w:val="18"/>
        </w:rPr>
      </w:pPr>
    </w:p>
    <w:p w14:paraId="1F82990F" w14:textId="77777777" w:rsidR="009A123F" w:rsidRPr="00DF49ED" w:rsidRDefault="009A123F" w:rsidP="003135F9">
      <w:pPr>
        <w:pStyle w:val="DefaultText"/>
        <w:tabs>
          <w:tab w:val="left" w:pos="2664"/>
          <w:tab w:val="right" w:pos="6820"/>
        </w:tabs>
        <w:ind w:right="-720"/>
        <w:rPr>
          <w:b/>
          <w:bCs/>
          <w:sz w:val="28"/>
        </w:rPr>
      </w:pPr>
      <w:r w:rsidRPr="00DF49ED">
        <w:rPr>
          <w:b/>
          <w:bCs/>
          <w:sz w:val="28"/>
        </w:rPr>
        <w:t>Functions</w:t>
      </w:r>
      <w:r w:rsidR="0079791E" w:rsidRPr="00DF49ED">
        <w:rPr>
          <w:b/>
          <w:bCs/>
          <w:sz w:val="28"/>
        </w:rPr>
        <w:t xml:space="preserve"> </w:t>
      </w:r>
    </w:p>
    <w:p w14:paraId="70369423" w14:textId="77777777" w:rsidR="009A123F" w:rsidRPr="00046F73" w:rsidRDefault="009A123F" w:rsidP="003135F9">
      <w:pPr>
        <w:pStyle w:val="DefaultText"/>
        <w:ind w:right="-720"/>
      </w:pPr>
    </w:p>
    <w:p w14:paraId="78DDEBB0" w14:textId="77777777" w:rsidR="00D30557" w:rsidRDefault="009A123F" w:rsidP="006A7089">
      <w:pPr>
        <w:pStyle w:val="DefaultText"/>
        <w:tabs>
          <w:tab w:val="left" w:pos="1080"/>
          <w:tab w:val="left" w:pos="1440"/>
          <w:tab w:val="left" w:pos="1800"/>
        </w:tabs>
        <w:ind w:left="720" w:hanging="720"/>
      </w:pPr>
      <w:r w:rsidRPr="00046F73">
        <w:t xml:space="preserve">In addition to the development and administration of the </w:t>
      </w:r>
      <w:r w:rsidR="00D30557">
        <w:t>Request for Proposal</w:t>
      </w:r>
      <w:r w:rsidRPr="00046F73">
        <w:t xml:space="preserve">, the </w:t>
      </w:r>
      <w:r w:rsidR="003135F9">
        <w:t>o</w:t>
      </w:r>
      <w:r w:rsidR="00D30557">
        <w:t>rganization for</w:t>
      </w:r>
    </w:p>
    <w:p w14:paraId="74A7AB35" w14:textId="77777777" w:rsidR="009A123F" w:rsidRDefault="003135F9" w:rsidP="006A7089">
      <w:pPr>
        <w:pStyle w:val="DefaultText"/>
        <w:tabs>
          <w:tab w:val="left" w:pos="1080"/>
          <w:tab w:val="left" w:pos="1440"/>
          <w:tab w:val="left" w:pos="1800"/>
        </w:tabs>
      </w:pPr>
      <w:r>
        <w:t>c</w:t>
      </w:r>
      <w:r w:rsidR="00384884">
        <w:t>ongregate services</w:t>
      </w:r>
      <w:r w:rsidR="009A123F" w:rsidRPr="00046F73">
        <w:t xml:space="preserve"> will also</w:t>
      </w:r>
      <w:r w:rsidR="00D30557">
        <w:t xml:space="preserve"> </w:t>
      </w:r>
      <w:r w:rsidR="009A123F" w:rsidRPr="00046F73">
        <w:t>carry out directly, to the</w:t>
      </w:r>
      <w:r w:rsidR="00384884">
        <w:t xml:space="preserve"> </w:t>
      </w:r>
      <w:r w:rsidR="009A123F" w:rsidRPr="00046F73">
        <w:t>maximum</w:t>
      </w:r>
      <w:r w:rsidR="006A7089">
        <w:t xml:space="preserve"> extent feasible, the following </w:t>
      </w:r>
      <w:r w:rsidR="009A123F" w:rsidRPr="00046F73">
        <w:t>guidelines:</w:t>
      </w:r>
    </w:p>
    <w:p w14:paraId="5F5FFC39" w14:textId="77777777" w:rsidR="003D78B2" w:rsidRPr="00046F73" w:rsidRDefault="003D78B2" w:rsidP="006A7089">
      <w:pPr>
        <w:pStyle w:val="DefaultText"/>
        <w:tabs>
          <w:tab w:val="left" w:pos="1080"/>
          <w:tab w:val="left" w:pos="1440"/>
          <w:tab w:val="left" w:pos="1800"/>
        </w:tabs>
        <w:ind w:left="720" w:hanging="720"/>
      </w:pPr>
    </w:p>
    <w:p w14:paraId="005C0D2C" w14:textId="77777777" w:rsidR="009A123F" w:rsidRPr="00046F73" w:rsidRDefault="009A123F" w:rsidP="006A7089">
      <w:pPr>
        <w:pStyle w:val="DefaultText"/>
        <w:numPr>
          <w:ilvl w:val="0"/>
          <w:numId w:val="22"/>
        </w:numPr>
        <w:tabs>
          <w:tab w:val="left" w:pos="540"/>
          <w:tab w:val="left" w:pos="720"/>
        </w:tabs>
      </w:pPr>
      <w:r w:rsidRPr="00046F73">
        <w:t xml:space="preserve">Provide leadership and advocacy on behalf of all older persons within the </w:t>
      </w:r>
      <w:r w:rsidR="003135F9">
        <w:t>planning and s</w:t>
      </w:r>
      <w:r w:rsidR="00D30557">
        <w:t xml:space="preserve">ervice </w:t>
      </w:r>
      <w:r w:rsidR="003135F9">
        <w:t>a</w:t>
      </w:r>
      <w:r w:rsidR="00D30557">
        <w:t>rea</w:t>
      </w:r>
      <w:r w:rsidRPr="00046F73">
        <w:t xml:space="preserve"> for which the </w:t>
      </w:r>
      <w:r w:rsidR="003135F9">
        <w:t>o</w:t>
      </w:r>
      <w:r w:rsidR="00D30557">
        <w:t>rganization</w:t>
      </w:r>
      <w:r w:rsidRPr="00046F73">
        <w:t xml:space="preserve"> is responsible.</w:t>
      </w:r>
    </w:p>
    <w:p w14:paraId="66720B20" w14:textId="77777777" w:rsidR="009A123F" w:rsidRPr="00046F73" w:rsidRDefault="009A123F" w:rsidP="006A7089">
      <w:pPr>
        <w:pStyle w:val="DefaultText"/>
        <w:numPr>
          <w:ilvl w:val="0"/>
          <w:numId w:val="22"/>
        </w:numPr>
        <w:tabs>
          <w:tab w:val="left" w:pos="540"/>
          <w:tab w:val="left" w:pos="720"/>
        </w:tabs>
      </w:pPr>
      <w:r w:rsidRPr="00046F73">
        <w:t xml:space="preserve">Ensure that each activity undertaken by the </w:t>
      </w:r>
      <w:r w:rsidR="003135F9">
        <w:t>o</w:t>
      </w:r>
      <w:r w:rsidR="00D30557">
        <w:t>rganization</w:t>
      </w:r>
      <w:r w:rsidRPr="00046F73">
        <w:t>, including planning, advocacy and systems development, will include a focus on the needs of low-income</w:t>
      </w:r>
      <w:r w:rsidR="00E37567">
        <w:t>,</w:t>
      </w:r>
      <w:r w:rsidRPr="00046F73">
        <w:t xml:space="preserve"> minority older individuals</w:t>
      </w:r>
      <w:r w:rsidR="00501E29" w:rsidRPr="00046F73">
        <w:t>; older</w:t>
      </w:r>
      <w:r w:rsidRPr="00046F73">
        <w:t xml:space="preserve"> individuals residing in rural areas</w:t>
      </w:r>
      <w:r w:rsidR="007061FB" w:rsidRPr="00046F73">
        <w:t>; and individuals at risk for institutional placement</w:t>
      </w:r>
      <w:r w:rsidRPr="00046F73">
        <w:t>.</w:t>
      </w:r>
    </w:p>
    <w:p w14:paraId="4021C908" w14:textId="77777777" w:rsidR="003D78B2" w:rsidRDefault="009A123F" w:rsidP="006A7089">
      <w:pPr>
        <w:pStyle w:val="DefaultText"/>
        <w:numPr>
          <w:ilvl w:val="0"/>
          <w:numId w:val="22"/>
        </w:numPr>
        <w:tabs>
          <w:tab w:val="left" w:pos="732"/>
          <w:tab w:val="left" w:pos="1080"/>
          <w:tab w:val="left" w:pos="1800"/>
        </w:tabs>
      </w:pPr>
      <w:r w:rsidRPr="00046F73">
        <w:t xml:space="preserve">Serve as </w:t>
      </w:r>
      <w:r w:rsidR="001D2F89">
        <w:t xml:space="preserve">an </w:t>
      </w:r>
      <w:r w:rsidRPr="00046F73">
        <w:t xml:space="preserve">advocate for older persons within the </w:t>
      </w:r>
      <w:r w:rsidR="003135F9">
        <w:t>planning and service a</w:t>
      </w:r>
      <w:r w:rsidR="00D30557">
        <w:t>rea</w:t>
      </w:r>
      <w:r w:rsidRPr="00046F73">
        <w:t xml:space="preserve"> by monitoring, evaluating and commenting upon all policies, programs, hearings, levies</w:t>
      </w:r>
      <w:r w:rsidR="003135F9">
        <w:t>,</w:t>
      </w:r>
      <w:r w:rsidRPr="00046F73">
        <w:t xml:space="preserve"> and community actions which will affect older individuals.</w:t>
      </w:r>
    </w:p>
    <w:p w14:paraId="6B2A0A2D" w14:textId="77777777" w:rsidR="003D78B2" w:rsidRDefault="009A123F" w:rsidP="006A7089">
      <w:pPr>
        <w:pStyle w:val="DefaultText"/>
        <w:numPr>
          <w:ilvl w:val="0"/>
          <w:numId w:val="22"/>
        </w:numPr>
        <w:tabs>
          <w:tab w:val="left" w:pos="732"/>
          <w:tab w:val="left" w:pos="1080"/>
          <w:tab w:val="left" w:pos="1800"/>
        </w:tabs>
      </w:pPr>
      <w:r w:rsidRPr="00046F73">
        <w:t xml:space="preserve">Identify, in coordination with </w:t>
      </w:r>
      <w:r w:rsidR="00DF3BC7">
        <w:t>Young at Heart Resources</w:t>
      </w:r>
      <w:r w:rsidRPr="00046F73">
        <w:t>, the public and private non</w:t>
      </w:r>
      <w:r w:rsidR="004D6C16">
        <w:t>-</w:t>
      </w:r>
      <w:r w:rsidRPr="00046F73">
        <w:t>profit entities involved in the prevention, identification</w:t>
      </w:r>
      <w:r w:rsidR="003135F9">
        <w:t>,</w:t>
      </w:r>
      <w:r w:rsidRPr="00046F73">
        <w:t xml:space="preserve"> and treatment of the abuse, neglect</w:t>
      </w:r>
      <w:r w:rsidR="003135F9">
        <w:t>,</w:t>
      </w:r>
      <w:r w:rsidRPr="00046F73">
        <w:t xml:space="preserve"> and exploitation of older individuals, and based on such identification, determine the extent to which the need for appropriate services for such individuals is unmet.  </w:t>
      </w:r>
    </w:p>
    <w:p w14:paraId="46D54B1F" w14:textId="77777777" w:rsidR="003D78B2" w:rsidRDefault="009A123F" w:rsidP="006A7089">
      <w:pPr>
        <w:pStyle w:val="DefaultText"/>
        <w:numPr>
          <w:ilvl w:val="0"/>
          <w:numId w:val="22"/>
        </w:numPr>
        <w:tabs>
          <w:tab w:val="left" w:pos="732"/>
          <w:tab w:val="left" w:pos="1080"/>
          <w:tab w:val="left" w:pos="1800"/>
        </w:tabs>
      </w:pPr>
      <w:r w:rsidRPr="00046F73">
        <w:t xml:space="preserve">Establish measurable program objectives </w:t>
      </w:r>
      <w:r w:rsidR="007061FB" w:rsidRPr="00046F73">
        <w:t xml:space="preserve">consistent with </w:t>
      </w:r>
      <w:r w:rsidR="00DF3BC7">
        <w:t xml:space="preserve">Young at Heart Resources </w:t>
      </w:r>
      <w:r w:rsidR="004170AE" w:rsidRPr="00046F73">
        <w:t>guidance</w:t>
      </w:r>
      <w:r w:rsidR="007061FB" w:rsidRPr="00046F73">
        <w:t>, for providing services to individuals</w:t>
      </w:r>
      <w:r w:rsidR="00DF3BC7">
        <w:t xml:space="preserve"> 60 year of age or older</w:t>
      </w:r>
      <w:r w:rsidR="007061FB" w:rsidRPr="00046F73">
        <w:t xml:space="preserve"> with</w:t>
      </w:r>
      <w:r w:rsidR="00DF3BC7">
        <w:t xml:space="preserve"> the </w:t>
      </w:r>
      <w:r w:rsidR="007061FB" w:rsidRPr="00046F73">
        <w:t xml:space="preserve">greatest economic need, </w:t>
      </w:r>
      <w:r w:rsidR="00DF3BC7">
        <w:t xml:space="preserve">the </w:t>
      </w:r>
      <w:r w:rsidR="007061FB" w:rsidRPr="00046F73">
        <w:t xml:space="preserve">greatest social need, </w:t>
      </w:r>
      <w:r w:rsidR="00DF3BC7">
        <w:t xml:space="preserve">and those </w:t>
      </w:r>
      <w:r w:rsidR="007061FB" w:rsidRPr="00046F73">
        <w:t>at risk for institutional placement</w:t>
      </w:r>
      <w:r w:rsidR="00DF3BC7">
        <w:t>. There should also be</w:t>
      </w:r>
      <w:r w:rsidR="007061FB" w:rsidRPr="00046F73">
        <w:t xml:space="preserve"> specific objectives </w:t>
      </w:r>
      <w:r w:rsidR="00F43ECD">
        <w:t xml:space="preserve">for </w:t>
      </w:r>
      <w:r w:rsidR="007061FB" w:rsidRPr="00046F73">
        <w:t>providing services to low-income minority</w:t>
      </w:r>
      <w:r w:rsidR="00F43ECD">
        <w:t xml:space="preserve"> older adults</w:t>
      </w:r>
      <w:r w:rsidR="007061FB" w:rsidRPr="00046F73">
        <w:t xml:space="preserve">, </w:t>
      </w:r>
      <w:r w:rsidR="00DF3BC7">
        <w:t xml:space="preserve">older adults </w:t>
      </w:r>
      <w:r w:rsidR="007061FB" w:rsidRPr="00046F73">
        <w:t xml:space="preserve">with limited English proficiency, and older </w:t>
      </w:r>
      <w:r w:rsidR="00DF3BC7">
        <w:t>adults</w:t>
      </w:r>
      <w:r w:rsidR="001D2F89">
        <w:t xml:space="preserve"> residing in rural areas.</w:t>
      </w:r>
    </w:p>
    <w:p w14:paraId="7FAFB7F4" w14:textId="77777777" w:rsidR="003D78B2" w:rsidRDefault="009A123F" w:rsidP="006A7089">
      <w:pPr>
        <w:pStyle w:val="DefaultText"/>
        <w:numPr>
          <w:ilvl w:val="0"/>
          <w:numId w:val="22"/>
        </w:numPr>
        <w:tabs>
          <w:tab w:val="left" w:pos="732"/>
          <w:tab w:val="left" w:pos="1080"/>
          <w:tab w:val="left" w:pos="1800"/>
        </w:tabs>
      </w:pPr>
      <w:r w:rsidRPr="00046F73">
        <w:t xml:space="preserve">Periodically evaluate the </w:t>
      </w:r>
      <w:r w:rsidR="001D2F89">
        <w:t xml:space="preserve">services </w:t>
      </w:r>
      <w:r w:rsidRPr="00046F73">
        <w:t xml:space="preserve">carried out under the </w:t>
      </w:r>
      <w:r w:rsidR="00D30557">
        <w:t>Request for Proposal</w:t>
      </w:r>
      <w:r w:rsidRPr="00046F73">
        <w:t>; evaluations will include the views of older</w:t>
      </w:r>
      <w:r w:rsidR="001D2F89">
        <w:t xml:space="preserve"> </w:t>
      </w:r>
      <w:r w:rsidR="00E20A96">
        <w:t>adults</w:t>
      </w:r>
      <w:r w:rsidR="001D2F89">
        <w:t xml:space="preserve"> participating in such services.</w:t>
      </w:r>
      <w:r w:rsidRPr="00046F73">
        <w:t xml:space="preserve"> </w:t>
      </w:r>
    </w:p>
    <w:p w14:paraId="133107BA" w14:textId="77777777" w:rsidR="009A123F" w:rsidRPr="00046F73" w:rsidRDefault="009A123F" w:rsidP="006A7089">
      <w:pPr>
        <w:pStyle w:val="DefaultText"/>
        <w:numPr>
          <w:ilvl w:val="0"/>
          <w:numId w:val="22"/>
        </w:numPr>
        <w:tabs>
          <w:tab w:val="left" w:pos="732"/>
          <w:tab w:val="left" w:pos="1080"/>
          <w:tab w:val="left" w:pos="1800"/>
        </w:tabs>
      </w:pPr>
      <w:r w:rsidRPr="00046F73">
        <w:t>Receive public comme</w:t>
      </w:r>
      <w:r w:rsidR="00E20A96">
        <w:t xml:space="preserve">nts concerning the needs of individuals 60 years of age and older </w:t>
      </w:r>
      <w:r w:rsidRPr="00046F73">
        <w:t>on an ongoing basis;</w:t>
      </w:r>
    </w:p>
    <w:p w14:paraId="5B021641" w14:textId="77777777" w:rsidR="009A123F" w:rsidRPr="00046F73" w:rsidRDefault="001D2F89" w:rsidP="006A7089">
      <w:pPr>
        <w:pStyle w:val="DefaultText"/>
        <w:numPr>
          <w:ilvl w:val="0"/>
          <w:numId w:val="22"/>
        </w:numPr>
        <w:tabs>
          <w:tab w:val="left" w:pos="540"/>
        </w:tabs>
      </w:pPr>
      <w:r>
        <w:t>E</w:t>
      </w:r>
      <w:r w:rsidR="009A123F" w:rsidRPr="00046F73">
        <w:t>valuate the effectiveness of service provision to low-income minorit</w:t>
      </w:r>
      <w:r w:rsidR="006E55AD" w:rsidRPr="00046F73">
        <w:t>y</w:t>
      </w:r>
      <w:r w:rsidR="009A123F" w:rsidRPr="00046F73">
        <w:t xml:space="preserve"> older </w:t>
      </w:r>
      <w:r w:rsidR="00E20A96">
        <w:t xml:space="preserve">adults </w:t>
      </w:r>
      <w:r w:rsidR="009A123F" w:rsidRPr="00046F73">
        <w:t xml:space="preserve">residing in rural areas </w:t>
      </w:r>
      <w:r>
        <w:t xml:space="preserve">and </w:t>
      </w:r>
      <w:r w:rsidR="009A123F" w:rsidRPr="00046F73">
        <w:t>take corrective action where needed;</w:t>
      </w:r>
    </w:p>
    <w:p w14:paraId="7A1C917A" w14:textId="77777777" w:rsidR="003D78B2" w:rsidRDefault="009A123F" w:rsidP="006A7089">
      <w:pPr>
        <w:pStyle w:val="DefaultText"/>
        <w:numPr>
          <w:ilvl w:val="0"/>
          <w:numId w:val="22"/>
        </w:numPr>
        <w:tabs>
          <w:tab w:val="left" w:pos="720"/>
          <w:tab w:val="left" w:pos="1800"/>
          <w:tab w:val="left" w:pos="1980"/>
        </w:tabs>
      </w:pPr>
      <w:r w:rsidRPr="00046F73">
        <w:t xml:space="preserve">Additionally the </w:t>
      </w:r>
      <w:r w:rsidR="003135F9">
        <w:t>o</w:t>
      </w:r>
      <w:r w:rsidR="00D30557">
        <w:t>rganization</w:t>
      </w:r>
      <w:r w:rsidRPr="00046F73">
        <w:t xml:space="preserve"> has the responsibility</w:t>
      </w:r>
      <w:r w:rsidR="003135F9">
        <w:t xml:space="preserve"> </w:t>
      </w:r>
      <w:r w:rsidRPr="00046F73">
        <w:t xml:space="preserve">to inform the older </w:t>
      </w:r>
      <w:r w:rsidR="00E20A96">
        <w:t>adults</w:t>
      </w:r>
      <w:r w:rsidRPr="00046F73">
        <w:t xml:space="preserve"> and the caretakers of such individuals of the availability of assistance</w:t>
      </w:r>
      <w:r w:rsidR="003135F9">
        <w:t>,</w:t>
      </w:r>
      <w:r w:rsidR="00D06D20">
        <w:t xml:space="preserve"> and refer them to </w:t>
      </w:r>
      <w:r w:rsidR="00E20A96">
        <w:t>Young at Heart Resources</w:t>
      </w:r>
      <w:r w:rsidR="00D06D20">
        <w:t xml:space="preserve"> for further assistance</w:t>
      </w:r>
      <w:r w:rsidRPr="00046F73">
        <w:t>.</w:t>
      </w:r>
      <w:r w:rsidR="001214B9" w:rsidRPr="00046F73">
        <w:t xml:space="preserve"> </w:t>
      </w:r>
    </w:p>
    <w:p w14:paraId="3505FBAB" w14:textId="77777777" w:rsidR="001F3EB9" w:rsidRPr="00046F73" w:rsidRDefault="00C432DC" w:rsidP="006A7089">
      <w:pPr>
        <w:pStyle w:val="DefaultText"/>
        <w:numPr>
          <w:ilvl w:val="0"/>
          <w:numId w:val="22"/>
        </w:numPr>
        <w:tabs>
          <w:tab w:val="left" w:pos="720"/>
          <w:tab w:val="left" w:pos="1800"/>
          <w:tab w:val="left" w:pos="1980"/>
        </w:tabs>
      </w:pPr>
      <w:r w:rsidRPr="00046F73">
        <w:t xml:space="preserve">Provide a grievance procedure for older </w:t>
      </w:r>
      <w:r w:rsidR="00E20A96">
        <w:t xml:space="preserve">adults </w:t>
      </w:r>
      <w:r w:rsidRPr="00046F73">
        <w:t>who are dissatisfied with or denied services.</w:t>
      </w:r>
      <w:r w:rsidR="001214B9" w:rsidRPr="00046F73">
        <w:t xml:space="preserve"> </w:t>
      </w:r>
    </w:p>
    <w:p w14:paraId="41949CD2" w14:textId="77777777" w:rsidR="009A123F" w:rsidRPr="00046F73" w:rsidRDefault="009A123F" w:rsidP="003135F9">
      <w:pPr>
        <w:pStyle w:val="DefaultText"/>
        <w:ind w:right="-720"/>
      </w:pPr>
    </w:p>
    <w:p w14:paraId="7D510BFD" w14:textId="3F2AC42F" w:rsidR="009A123F" w:rsidRPr="00046F73" w:rsidRDefault="009A123F" w:rsidP="003135F9">
      <w:pPr>
        <w:pStyle w:val="DefaultText"/>
        <w:tabs>
          <w:tab w:val="left" w:pos="180"/>
          <w:tab w:val="left" w:pos="1440"/>
          <w:tab w:val="left" w:pos="2786"/>
          <w:tab w:val="right" w:pos="6635"/>
        </w:tabs>
        <w:ind w:left="720" w:right="-720" w:hanging="720"/>
        <w:rPr>
          <w:b/>
          <w:bCs/>
        </w:rPr>
      </w:pPr>
      <w:r w:rsidRPr="00DF49ED">
        <w:rPr>
          <w:b/>
          <w:bCs/>
          <w:sz w:val="28"/>
        </w:rPr>
        <w:t>Contributions for Services</w:t>
      </w:r>
      <w:r w:rsidR="00E51ECA" w:rsidRPr="00046F73">
        <w:rPr>
          <w:b/>
          <w:bCs/>
        </w:rPr>
        <w:t xml:space="preserve"> (O</w:t>
      </w:r>
      <w:r w:rsidR="001E647A">
        <w:rPr>
          <w:b/>
          <w:bCs/>
        </w:rPr>
        <w:t>A</w:t>
      </w:r>
      <w:r w:rsidR="00E51ECA" w:rsidRPr="00046F73">
        <w:rPr>
          <w:b/>
          <w:bCs/>
        </w:rPr>
        <w:t>A Section 315)</w:t>
      </w:r>
    </w:p>
    <w:p w14:paraId="2945D1BD" w14:textId="77777777" w:rsidR="009A123F" w:rsidRPr="00046F73" w:rsidRDefault="009A123F" w:rsidP="003135F9">
      <w:pPr>
        <w:pStyle w:val="DefaultText"/>
        <w:tabs>
          <w:tab w:val="left" w:pos="180"/>
          <w:tab w:val="left" w:pos="1440"/>
          <w:tab w:val="left" w:pos="2786"/>
          <w:tab w:val="right" w:pos="6635"/>
        </w:tabs>
        <w:ind w:right="-720" w:hanging="720"/>
      </w:pPr>
    </w:p>
    <w:p w14:paraId="768BF7A1" w14:textId="77777777" w:rsidR="00D06D20" w:rsidRDefault="003A304E" w:rsidP="006A7089">
      <w:pPr>
        <w:pStyle w:val="DefaultText"/>
        <w:tabs>
          <w:tab w:val="left" w:pos="180"/>
          <w:tab w:val="left" w:pos="1440"/>
          <w:tab w:val="left" w:pos="2786"/>
          <w:tab w:val="right" w:pos="6635"/>
        </w:tabs>
        <w:ind w:hanging="720"/>
      </w:pPr>
      <w:r>
        <w:tab/>
      </w:r>
      <w:r w:rsidR="009A123F" w:rsidRPr="00046F73">
        <w:t xml:space="preserve">The </w:t>
      </w:r>
      <w:r w:rsidR="003135F9">
        <w:t>o</w:t>
      </w:r>
      <w:r w:rsidR="00D30557">
        <w:t>rganization</w:t>
      </w:r>
      <w:r w:rsidR="009A123F" w:rsidRPr="00046F73">
        <w:t xml:space="preserve"> will assure </w:t>
      </w:r>
      <w:r w:rsidR="004D6C16">
        <w:t xml:space="preserve">that </w:t>
      </w:r>
      <w:r w:rsidR="009A123F" w:rsidRPr="00046F73">
        <w:t xml:space="preserve">each recipient </w:t>
      </w:r>
      <w:r w:rsidR="00D06D20">
        <w:t>has</w:t>
      </w:r>
      <w:r w:rsidR="009A123F" w:rsidRPr="00046F73">
        <w:t xml:space="preserve"> the opportunity to voluntarily contribute for all or part of the costs</w:t>
      </w:r>
      <w:r w:rsidR="004D6C16">
        <w:t xml:space="preserve"> </w:t>
      </w:r>
      <w:r w:rsidR="009A123F" w:rsidRPr="00046F73">
        <w:t>of the services provided.  Each recipient shall determine for himself what he/s</w:t>
      </w:r>
      <w:r w:rsidR="00D06D20">
        <w:t xml:space="preserve">he is able to contribute toward </w:t>
      </w:r>
      <w:r w:rsidR="009A123F" w:rsidRPr="00046F73">
        <w:t>the cost of the service</w:t>
      </w:r>
      <w:r w:rsidR="004D6C16">
        <w:t>,</w:t>
      </w:r>
      <w:r w:rsidR="009A123F" w:rsidRPr="00046F73">
        <w:t xml:space="preserve"> and providers shall clearly inform each recipient </w:t>
      </w:r>
      <w:r w:rsidR="004D6C16">
        <w:t xml:space="preserve">that </w:t>
      </w:r>
      <w:r w:rsidR="009A123F" w:rsidRPr="00046F73">
        <w:t>no service shall be denied because of his/her inability or failure to contribu</w:t>
      </w:r>
      <w:r w:rsidR="00D06D20">
        <w:t xml:space="preserve">te to the cost of such service. </w:t>
      </w:r>
    </w:p>
    <w:p w14:paraId="72A7CFA0" w14:textId="77777777" w:rsidR="004D6C16" w:rsidRDefault="004D6C16" w:rsidP="006A7089">
      <w:pPr>
        <w:pStyle w:val="DefaultText"/>
        <w:tabs>
          <w:tab w:val="left" w:pos="180"/>
          <w:tab w:val="left" w:pos="1440"/>
          <w:tab w:val="left" w:pos="2786"/>
          <w:tab w:val="right" w:pos="6635"/>
        </w:tabs>
        <w:ind w:hanging="720"/>
      </w:pPr>
    </w:p>
    <w:p w14:paraId="2AD51BF2" w14:textId="77777777" w:rsidR="003D78B2" w:rsidRDefault="003A304E" w:rsidP="006A7089">
      <w:pPr>
        <w:pStyle w:val="DefaultText"/>
        <w:tabs>
          <w:tab w:val="left" w:pos="180"/>
          <w:tab w:val="left" w:pos="1440"/>
          <w:tab w:val="left" w:pos="2786"/>
          <w:tab w:val="right" w:pos="6635"/>
        </w:tabs>
        <w:ind w:hanging="720"/>
      </w:pPr>
      <w:r>
        <w:tab/>
      </w:r>
      <w:r w:rsidR="009A123F" w:rsidRPr="00046F73">
        <w:t xml:space="preserve">The </w:t>
      </w:r>
      <w:r w:rsidR="003135F9">
        <w:t>o</w:t>
      </w:r>
      <w:r w:rsidR="00D30557">
        <w:t>rganization</w:t>
      </w:r>
      <w:r w:rsidR="009A123F" w:rsidRPr="00046F73">
        <w:t xml:space="preserve"> shall provide that the methods of receiving contributions from individuals shall be handled in</w:t>
      </w:r>
      <w:r w:rsidR="00D30557">
        <w:t xml:space="preserve"> </w:t>
      </w:r>
      <w:r w:rsidR="009A123F" w:rsidRPr="00046F73">
        <w:t xml:space="preserve">such a manner as to: </w:t>
      </w:r>
    </w:p>
    <w:p w14:paraId="4C9DDF44" w14:textId="2B0DB148" w:rsidR="009A123F" w:rsidRPr="00046F73" w:rsidRDefault="009F7AF4" w:rsidP="006A7089">
      <w:pPr>
        <w:pStyle w:val="DefaultText"/>
        <w:numPr>
          <w:ilvl w:val="0"/>
          <w:numId w:val="24"/>
        </w:numPr>
        <w:tabs>
          <w:tab w:val="left" w:pos="180"/>
          <w:tab w:val="left" w:pos="720"/>
          <w:tab w:val="left" w:pos="2786"/>
          <w:tab w:val="right" w:pos="6635"/>
        </w:tabs>
      </w:pPr>
      <w:r>
        <w:t>P</w:t>
      </w:r>
      <w:r w:rsidR="009A123F" w:rsidRPr="00046F73">
        <w:t>rotect the privacy and confidentiality of each recipient;</w:t>
      </w:r>
    </w:p>
    <w:p w14:paraId="5F8B1110" w14:textId="69FE5F9F" w:rsidR="009A123F" w:rsidRPr="00046F73" w:rsidRDefault="009F7AF4" w:rsidP="006A7089">
      <w:pPr>
        <w:pStyle w:val="DefaultText"/>
        <w:numPr>
          <w:ilvl w:val="0"/>
          <w:numId w:val="24"/>
        </w:numPr>
        <w:tabs>
          <w:tab w:val="left" w:pos="691"/>
          <w:tab w:val="left" w:pos="766"/>
        </w:tabs>
      </w:pPr>
      <w:r>
        <w:t>E</w:t>
      </w:r>
      <w:r w:rsidR="009A123F" w:rsidRPr="00046F73">
        <w:t xml:space="preserve">stablish </w:t>
      </w:r>
      <w:r w:rsidR="00705F1E">
        <w:t xml:space="preserve">an </w:t>
      </w:r>
      <w:r w:rsidR="009A123F" w:rsidRPr="00046F73">
        <w:t xml:space="preserve">appropriate procedure to safeguard and account for all contributions; and </w:t>
      </w:r>
    </w:p>
    <w:p w14:paraId="751A7916" w14:textId="52B4EAF0" w:rsidR="009A123F" w:rsidRDefault="009F7AF4" w:rsidP="006A7089">
      <w:pPr>
        <w:pStyle w:val="DefaultText"/>
        <w:numPr>
          <w:ilvl w:val="0"/>
          <w:numId w:val="24"/>
        </w:numPr>
        <w:tabs>
          <w:tab w:val="left" w:pos="691"/>
          <w:tab w:val="left" w:pos="766"/>
        </w:tabs>
      </w:pPr>
      <w:r>
        <w:t>U</w:t>
      </w:r>
      <w:r w:rsidR="009A123F" w:rsidRPr="00046F73">
        <w:t xml:space="preserve">se all collected contributions to expand the service for which it was given. </w:t>
      </w:r>
    </w:p>
    <w:p w14:paraId="1465F870" w14:textId="54B6E185" w:rsidR="00E355E6" w:rsidRDefault="009F7AF4" w:rsidP="006A7089">
      <w:pPr>
        <w:pStyle w:val="DefaultText"/>
        <w:numPr>
          <w:ilvl w:val="0"/>
          <w:numId w:val="24"/>
        </w:numPr>
        <w:tabs>
          <w:tab w:val="left" w:pos="691"/>
          <w:tab w:val="left" w:pos="766"/>
        </w:tabs>
      </w:pPr>
      <w:r>
        <w:t>N</w:t>
      </w:r>
      <w:r w:rsidR="00E355E6">
        <w:t>o vouchers, tokens, or any other method can be used so that the client can put something in the contribution box.</w:t>
      </w:r>
    </w:p>
    <w:p w14:paraId="04DB7AD9" w14:textId="1D69A46B" w:rsidR="00E355E6" w:rsidRDefault="00E355E6" w:rsidP="006A7089">
      <w:pPr>
        <w:pStyle w:val="DefaultText"/>
        <w:numPr>
          <w:ilvl w:val="0"/>
          <w:numId w:val="24"/>
        </w:numPr>
        <w:tabs>
          <w:tab w:val="left" w:pos="691"/>
          <w:tab w:val="left" w:pos="766"/>
        </w:tabs>
      </w:pPr>
      <w:r>
        <w:lastRenderedPageBreak/>
        <w:t>Clients or their families should</w:t>
      </w:r>
      <w:r w:rsidR="009F7AF4">
        <w:t xml:space="preserve"> not</w:t>
      </w:r>
      <w:r>
        <w:t xml:space="preserve"> be expected or asked to prepay for contributions/ services. </w:t>
      </w:r>
    </w:p>
    <w:p w14:paraId="13A43EE0" w14:textId="77777777" w:rsidR="006A7089" w:rsidRDefault="006A7089" w:rsidP="006A7089">
      <w:pPr>
        <w:pStyle w:val="DefaultText"/>
        <w:tabs>
          <w:tab w:val="left" w:pos="691"/>
          <w:tab w:val="left" w:pos="766"/>
        </w:tabs>
        <w:ind w:left="720"/>
      </w:pPr>
    </w:p>
    <w:p w14:paraId="1F0CD0D9" w14:textId="0F7A559F" w:rsidR="00F8420C" w:rsidRPr="00046F73" w:rsidRDefault="00F8420C" w:rsidP="006A7089">
      <w:pPr>
        <w:pStyle w:val="DefaultText"/>
        <w:tabs>
          <w:tab w:val="left" w:pos="691"/>
          <w:tab w:val="left" w:pos="766"/>
        </w:tabs>
      </w:pPr>
      <w:r>
        <w:t xml:space="preserve">All contributions must be deposited if over $50.00 on the day they were received. Every effort should be made to make sure that the deposit time stamp matches the day the contributions were received. Deposit slips should be noted separately as to distinguish between </w:t>
      </w:r>
      <w:r w:rsidR="00705F1E">
        <w:t>home-delivered</w:t>
      </w:r>
      <w:r>
        <w:t xml:space="preserve"> and congregate amounts. The amounts must match the contribution sheet. </w:t>
      </w:r>
    </w:p>
    <w:p w14:paraId="49B4D485" w14:textId="77777777" w:rsidR="003135F9" w:rsidRDefault="003135F9" w:rsidP="006A7089">
      <w:pPr>
        <w:pStyle w:val="DefaultText"/>
        <w:tabs>
          <w:tab w:val="left" w:pos="0"/>
          <w:tab w:val="left" w:pos="691"/>
          <w:tab w:val="left" w:pos="766"/>
        </w:tabs>
        <w:ind w:right="-720"/>
        <w:rPr>
          <w:b/>
          <w:bCs/>
          <w:sz w:val="28"/>
        </w:rPr>
      </w:pPr>
    </w:p>
    <w:p w14:paraId="3949DB4B" w14:textId="77777777" w:rsidR="009A123F" w:rsidRPr="00046F73" w:rsidRDefault="009A123F" w:rsidP="003135F9">
      <w:pPr>
        <w:pStyle w:val="DefaultText"/>
        <w:tabs>
          <w:tab w:val="left" w:pos="0"/>
          <w:tab w:val="left" w:pos="691"/>
          <w:tab w:val="left" w:pos="766"/>
        </w:tabs>
        <w:ind w:left="720" w:right="-720" w:hanging="720"/>
      </w:pPr>
      <w:r w:rsidRPr="00DF49ED">
        <w:rPr>
          <w:b/>
          <w:bCs/>
          <w:sz w:val="28"/>
        </w:rPr>
        <w:t>Training</w:t>
      </w:r>
      <w:r w:rsidR="00716C27" w:rsidRPr="00046F73">
        <w:rPr>
          <w:b/>
          <w:bCs/>
        </w:rPr>
        <w:t xml:space="preserve"> (19 CSR 15-4) </w:t>
      </w:r>
    </w:p>
    <w:p w14:paraId="616E9214" w14:textId="77777777" w:rsidR="009A123F" w:rsidRPr="00046F73" w:rsidRDefault="009A123F" w:rsidP="003135F9">
      <w:pPr>
        <w:pStyle w:val="DefaultText"/>
        <w:ind w:right="-720"/>
      </w:pPr>
    </w:p>
    <w:p w14:paraId="69E6EE31" w14:textId="77777777" w:rsidR="009A123F" w:rsidRPr="00046F73" w:rsidRDefault="009A123F" w:rsidP="006A7089">
      <w:pPr>
        <w:pStyle w:val="DefaultText"/>
        <w:tabs>
          <w:tab w:val="left" w:pos="360"/>
        </w:tabs>
      </w:pPr>
      <w:r w:rsidRPr="00046F73">
        <w:t xml:space="preserve">The </w:t>
      </w:r>
      <w:r w:rsidR="003135F9">
        <w:t>o</w:t>
      </w:r>
      <w:r w:rsidR="00D30557">
        <w:t>rganization</w:t>
      </w:r>
      <w:r w:rsidRPr="00046F73">
        <w:t xml:space="preserve"> will make provisions for the training of personnel necessar</w:t>
      </w:r>
      <w:r w:rsidR="00D30557">
        <w:t>y for the implementation of the</w:t>
      </w:r>
      <w:r w:rsidR="006A7089">
        <w:t xml:space="preserve"> Request f</w:t>
      </w:r>
      <w:r w:rsidR="00D30557">
        <w:t>or Prop</w:t>
      </w:r>
      <w:r w:rsidR="00E20A96">
        <w:t>o</w:t>
      </w:r>
      <w:r w:rsidR="00D30557">
        <w:t>sal</w:t>
      </w:r>
      <w:r w:rsidRPr="00046F73">
        <w:t xml:space="preserve">. The training plan will be available in the </w:t>
      </w:r>
      <w:r w:rsidR="003135F9">
        <w:t>o</w:t>
      </w:r>
      <w:r w:rsidR="00D30557">
        <w:t>rganization</w:t>
      </w:r>
      <w:r w:rsidR="00D06D20">
        <w:t xml:space="preserve">’s central </w:t>
      </w:r>
      <w:r w:rsidR="00D30557">
        <w:t>office and available to</w:t>
      </w:r>
      <w:r w:rsidR="006A7089">
        <w:t xml:space="preserve"> </w:t>
      </w:r>
      <w:r w:rsidR="00E20A96">
        <w:t>Young at Heart Resources</w:t>
      </w:r>
      <w:r w:rsidRPr="00046F73">
        <w:t xml:space="preserve"> upon request. Attendance by an authorized representative of the </w:t>
      </w:r>
      <w:r w:rsidR="003135F9">
        <w:t>o</w:t>
      </w:r>
      <w:r w:rsidR="00D30557">
        <w:t>rganiz</w:t>
      </w:r>
      <w:r w:rsidR="006328B5">
        <w:t>a</w:t>
      </w:r>
      <w:r w:rsidR="00D30557">
        <w:t>tion</w:t>
      </w:r>
      <w:r w:rsidR="006328B5">
        <w:t xml:space="preserve"> at specified</w:t>
      </w:r>
      <w:r w:rsidR="00E20A96">
        <w:t xml:space="preserve"> </w:t>
      </w:r>
      <w:r w:rsidR="00D30557">
        <w:t>training</w:t>
      </w:r>
      <w:r w:rsidR="006328B5">
        <w:t xml:space="preserve"> </w:t>
      </w:r>
      <w:r w:rsidRPr="00046F73">
        <w:t xml:space="preserve">sessions sponsored by </w:t>
      </w:r>
      <w:r w:rsidR="00E20A96">
        <w:t>Young at Heart Resources</w:t>
      </w:r>
      <w:r w:rsidRPr="00046F73">
        <w:t xml:space="preserve"> is mandatory; other training is at the discretion of the </w:t>
      </w:r>
      <w:r w:rsidR="003135F9">
        <w:t>o</w:t>
      </w:r>
      <w:r w:rsidR="00D30557">
        <w:t>rganization</w:t>
      </w:r>
      <w:r w:rsidRPr="00046F73">
        <w:t>.</w:t>
      </w:r>
      <w:r w:rsidR="003135F9">
        <w:t xml:space="preserve"> </w:t>
      </w:r>
      <w:r w:rsidR="00E20A96">
        <w:t>Mileage for mandatory training is not reimbursable by Young at Heart Resources.</w:t>
      </w:r>
    </w:p>
    <w:p w14:paraId="5B4CC157" w14:textId="77777777" w:rsidR="009A123F" w:rsidRPr="00046F73" w:rsidRDefault="009A123F" w:rsidP="003135F9">
      <w:pPr>
        <w:pStyle w:val="DefaultText"/>
        <w:ind w:right="-720"/>
      </w:pPr>
    </w:p>
    <w:p w14:paraId="2AA203E5" w14:textId="77777777" w:rsidR="009A123F" w:rsidRPr="00046F73" w:rsidRDefault="009A123F" w:rsidP="003135F9">
      <w:pPr>
        <w:pStyle w:val="DefaultText"/>
        <w:tabs>
          <w:tab w:val="left" w:pos="3900"/>
          <w:tab w:val="right" w:pos="5585"/>
        </w:tabs>
        <w:ind w:right="-720"/>
        <w:rPr>
          <w:b/>
          <w:bCs/>
        </w:rPr>
      </w:pPr>
      <w:r w:rsidRPr="00DF49ED">
        <w:rPr>
          <w:b/>
          <w:bCs/>
          <w:sz w:val="28"/>
        </w:rPr>
        <w:t>Evaluation</w:t>
      </w:r>
      <w:r w:rsidR="007218F3" w:rsidRPr="00046F73">
        <w:rPr>
          <w:b/>
          <w:bCs/>
        </w:rPr>
        <w:t xml:space="preserve"> (OAA Section 206(a))</w:t>
      </w:r>
    </w:p>
    <w:p w14:paraId="247C2124" w14:textId="77777777" w:rsidR="009A123F" w:rsidRPr="00046F73" w:rsidRDefault="009A123F" w:rsidP="003135F9">
      <w:pPr>
        <w:pStyle w:val="DefaultText"/>
        <w:tabs>
          <w:tab w:val="left" w:pos="3900"/>
          <w:tab w:val="right" w:pos="5585"/>
        </w:tabs>
        <w:ind w:right="-720" w:hanging="720"/>
      </w:pPr>
    </w:p>
    <w:p w14:paraId="4910175A" w14:textId="77777777" w:rsidR="009A123F" w:rsidRPr="00046F73" w:rsidRDefault="009A123F" w:rsidP="006A7089">
      <w:pPr>
        <w:pStyle w:val="DefaultText"/>
        <w:tabs>
          <w:tab w:val="left" w:pos="3900"/>
          <w:tab w:val="right" w:pos="5585"/>
        </w:tabs>
      </w:pPr>
      <w:r w:rsidRPr="00046F73">
        <w:t xml:space="preserve">The </w:t>
      </w:r>
      <w:r w:rsidR="003135F9">
        <w:t>o</w:t>
      </w:r>
      <w:r w:rsidR="006328B5">
        <w:t>rganization</w:t>
      </w:r>
      <w:r w:rsidR="00384884">
        <w:t xml:space="preserve"> </w:t>
      </w:r>
      <w:r w:rsidRPr="00046F73">
        <w:t xml:space="preserve">will coordinate and assist in any efforts undertaken by DHSS or the Administration </w:t>
      </w:r>
      <w:r w:rsidR="00B96BC8">
        <w:t>for</w:t>
      </w:r>
      <w:r w:rsidRPr="00046F73">
        <w:t xml:space="preserve"> </w:t>
      </w:r>
      <w:r w:rsidR="00BE78E2" w:rsidRPr="00046F73">
        <w:t xml:space="preserve">Community Living </w:t>
      </w:r>
      <w:r w:rsidRPr="00046F73">
        <w:t>to evaluate the effectiveness, feasibility</w:t>
      </w:r>
      <w:r w:rsidR="003135F9">
        <w:t>,</w:t>
      </w:r>
      <w:r w:rsidRPr="00046F73">
        <w:t xml:space="preserve"> and costs of activities under the area plan.</w:t>
      </w:r>
    </w:p>
    <w:p w14:paraId="095CB728" w14:textId="77777777" w:rsidR="00461CD7" w:rsidRPr="00046F73" w:rsidRDefault="00461CD7" w:rsidP="003135F9">
      <w:pPr>
        <w:pStyle w:val="DefaultText"/>
        <w:tabs>
          <w:tab w:val="left" w:pos="3624"/>
          <w:tab w:val="right" w:pos="5993"/>
        </w:tabs>
        <w:ind w:right="-720"/>
        <w:rPr>
          <w:b/>
          <w:bCs/>
        </w:rPr>
      </w:pPr>
    </w:p>
    <w:p w14:paraId="44EB3CBE" w14:textId="77777777" w:rsidR="00384884" w:rsidRDefault="009A123F" w:rsidP="003135F9">
      <w:pPr>
        <w:pStyle w:val="DefaultText"/>
        <w:tabs>
          <w:tab w:val="left" w:pos="3624"/>
          <w:tab w:val="right" w:pos="5993"/>
        </w:tabs>
        <w:ind w:left="720" w:right="-720" w:hanging="720"/>
        <w:rPr>
          <w:b/>
          <w:bCs/>
        </w:rPr>
      </w:pPr>
      <w:r w:rsidRPr="00DF49ED">
        <w:rPr>
          <w:b/>
          <w:bCs/>
          <w:sz w:val="28"/>
        </w:rPr>
        <w:t>Confidentiality</w:t>
      </w:r>
      <w:r w:rsidR="00461CD7" w:rsidRPr="00DF49ED">
        <w:rPr>
          <w:b/>
          <w:bCs/>
          <w:sz w:val="28"/>
        </w:rPr>
        <w:t xml:space="preserve"> </w:t>
      </w:r>
      <w:r w:rsidR="00461CD7" w:rsidRPr="00046F73">
        <w:rPr>
          <w:b/>
          <w:bCs/>
        </w:rPr>
        <w:t>(19 CSR 15-4.300 Record Keeping and Confidentiality)</w:t>
      </w:r>
    </w:p>
    <w:p w14:paraId="0F861C3E" w14:textId="77777777" w:rsidR="00E22F34" w:rsidRDefault="00E22F34" w:rsidP="003135F9">
      <w:pPr>
        <w:pStyle w:val="DefaultText"/>
        <w:tabs>
          <w:tab w:val="left" w:pos="3624"/>
          <w:tab w:val="right" w:pos="5993"/>
        </w:tabs>
        <w:ind w:right="-720" w:hanging="720"/>
        <w:rPr>
          <w:b/>
          <w:bCs/>
        </w:rPr>
      </w:pPr>
    </w:p>
    <w:p w14:paraId="26F63A7C" w14:textId="77777777" w:rsidR="009A123F" w:rsidRPr="00384884" w:rsidRDefault="00E20A96" w:rsidP="006A7089">
      <w:pPr>
        <w:pStyle w:val="DefaultText"/>
        <w:tabs>
          <w:tab w:val="left" w:pos="3624"/>
          <w:tab w:val="right" w:pos="5993"/>
        </w:tabs>
        <w:ind w:hanging="720"/>
        <w:rPr>
          <w:b/>
          <w:bCs/>
        </w:rPr>
      </w:pPr>
      <w:r>
        <w:t xml:space="preserve">            </w:t>
      </w:r>
      <w:r w:rsidR="009A123F" w:rsidRPr="00046F73">
        <w:t xml:space="preserve">The </w:t>
      </w:r>
      <w:r w:rsidR="003135F9">
        <w:t>o</w:t>
      </w:r>
      <w:r w:rsidR="00B96BC8">
        <w:t xml:space="preserve">rganization </w:t>
      </w:r>
      <w:r w:rsidR="009A123F" w:rsidRPr="00046F73">
        <w:t xml:space="preserve">will assure that no information obtained from </w:t>
      </w:r>
      <w:r w:rsidR="00BE78E2" w:rsidRPr="00046F73">
        <w:t>an</w:t>
      </w:r>
      <w:r>
        <w:t>other</w:t>
      </w:r>
      <w:r w:rsidR="00BE78E2" w:rsidRPr="00046F73">
        <w:t xml:space="preserve"> </w:t>
      </w:r>
      <w:r w:rsidR="003135F9">
        <w:t>a</w:t>
      </w:r>
      <w:r w:rsidR="00BE78E2" w:rsidRPr="00046F73">
        <w:t xml:space="preserve">gency providing services </w:t>
      </w:r>
      <w:r w:rsidR="009A123F" w:rsidRPr="00046F73">
        <w:t xml:space="preserve">about a service </w:t>
      </w:r>
      <w:r w:rsidR="00384884">
        <w:t>r</w:t>
      </w:r>
      <w:r w:rsidR="009A123F" w:rsidRPr="00046F73">
        <w:t xml:space="preserve">ecipient under the </w:t>
      </w:r>
      <w:r w:rsidR="00384884">
        <w:t>R</w:t>
      </w:r>
      <w:r w:rsidR="00B96BC8">
        <w:t xml:space="preserve">equest for Proposal </w:t>
      </w:r>
      <w:r w:rsidR="009A123F" w:rsidRPr="00046F73">
        <w:t>shall be disclosed in an identifiable form without the informed</w:t>
      </w:r>
      <w:r>
        <w:t xml:space="preserve"> </w:t>
      </w:r>
      <w:r w:rsidR="009A123F" w:rsidRPr="00046F73">
        <w:t>consent of the individual, except as required in RSMo 660.</w:t>
      </w:r>
      <w:r w:rsidR="009E3EF5" w:rsidRPr="00046F73">
        <w:t>300</w:t>
      </w:r>
      <w:r w:rsidR="009A123F" w:rsidRPr="00046F73">
        <w:t xml:space="preserve">, regarding reports made to the </w:t>
      </w:r>
      <w:r w:rsidR="00461CD7" w:rsidRPr="00046F73">
        <w:t xml:space="preserve">Missouri </w:t>
      </w:r>
      <w:r w:rsidR="006E55AD" w:rsidRPr="00046F73">
        <w:t>Adult</w:t>
      </w:r>
      <w:r>
        <w:t xml:space="preserve"> </w:t>
      </w:r>
      <w:r w:rsidR="006E55AD" w:rsidRPr="00046F73">
        <w:t>Abuse</w:t>
      </w:r>
      <w:r w:rsidR="00D43551" w:rsidRPr="00046F73">
        <w:t xml:space="preserve"> and Neglect</w:t>
      </w:r>
      <w:r w:rsidR="006E55AD" w:rsidRPr="00046F73">
        <w:t xml:space="preserve"> Hotline</w:t>
      </w:r>
      <w:r w:rsidR="009A123F" w:rsidRPr="00046F73">
        <w:t xml:space="preserve"> of DHSS.</w:t>
      </w:r>
    </w:p>
    <w:p w14:paraId="4F2E7738" w14:textId="77777777" w:rsidR="009A123F" w:rsidRPr="00046F73" w:rsidRDefault="009A123F" w:rsidP="003135F9">
      <w:pPr>
        <w:pStyle w:val="DefaultText"/>
        <w:tabs>
          <w:tab w:val="left" w:pos="672"/>
          <w:tab w:val="left" w:pos="720"/>
          <w:tab w:val="left" w:pos="747"/>
        </w:tabs>
        <w:ind w:left="-720" w:right="-720"/>
        <w:rPr>
          <w:strike/>
        </w:rPr>
      </w:pPr>
      <w:r w:rsidRPr="00046F73">
        <w:t xml:space="preserve"> </w:t>
      </w:r>
    </w:p>
    <w:p w14:paraId="44A086D2" w14:textId="77777777" w:rsidR="009A123F" w:rsidRPr="00253F05" w:rsidRDefault="009A123F" w:rsidP="003135F9">
      <w:pPr>
        <w:pStyle w:val="DefaultText"/>
        <w:tabs>
          <w:tab w:val="left" w:pos="3336"/>
          <w:tab w:val="right" w:pos="6111"/>
        </w:tabs>
        <w:ind w:right="-720"/>
        <w:rPr>
          <w:b/>
          <w:bCs/>
          <w:sz w:val="28"/>
          <w:szCs w:val="28"/>
        </w:rPr>
      </w:pPr>
      <w:r w:rsidRPr="00253F05">
        <w:rPr>
          <w:b/>
          <w:bCs/>
          <w:sz w:val="28"/>
          <w:szCs w:val="28"/>
        </w:rPr>
        <w:t>Public Information</w:t>
      </w:r>
      <w:r w:rsidR="00253F05">
        <w:rPr>
          <w:b/>
          <w:bCs/>
          <w:sz w:val="28"/>
          <w:szCs w:val="28"/>
        </w:rPr>
        <w:t xml:space="preserve"> </w:t>
      </w:r>
      <w:r w:rsidR="00253F05" w:rsidRPr="00253F05">
        <w:rPr>
          <w:b/>
          <w:bCs/>
          <w:sz w:val="28"/>
          <w:szCs w:val="28"/>
        </w:rPr>
        <w:t>(19 CSR</w:t>
      </w:r>
      <w:r w:rsidR="00277203">
        <w:rPr>
          <w:b/>
          <w:bCs/>
          <w:sz w:val="28"/>
          <w:szCs w:val="28"/>
        </w:rPr>
        <w:t>15-7.010 (9)(A) General Requirements)</w:t>
      </w:r>
    </w:p>
    <w:p w14:paraId="5D60FA35" w14:textId="77777777" w:rsidR="009A123F" w:rsidRPr="00046F73" w:rsidRDefault="009A123F" w:rsidP="003135F9">
      <w:pPr>
        <w:pStyle w:val="DefaultText"/>
        <w:tabs>
          <w:tab w:val="left" w:pos="3336"/>
          <w:tab w:val="right" w:pos="6111"/>
        </w:tabs>
        <w:ind w:right="-720"/>
      </w:pPr>
    </w:p>
    <w:p w14:paraId="6C6BADE0" w14:textId="6282BF59" w:rsidR="002F2DC4" w:rsidRPr="00930387" w:rsidRDefault="009A123F" w:rsidP="006A7089">
      <w:pPr>
        <w:pStyle w:val="DefaultText"/>
        <w:tabs>
          <w:tab w:val="left" w:pos="360"/>
          <w:tab w:val="left" w:pos="1080"/>
        </w:tabs>
        <w:ind w:left="720" w:hanging="720"/>
        <w:rPr>
          <w:color w:val="000000" w:themeColor="text1"/>
        </w:rPr>
      </w:pPr>
      <w:r w:rsidRPr="00930387">
        <w:rPr>
          <w:color w:val="000000" w:themeColor="text1"/>
        </w:rPr>
        <w:t xml:space="preserve">The </w:t>
      </w:r>
      <w:r w:rsidR="006A7089">
        <w:rPr>
          <w:color w:val="000000" w:themeColor="text1"/>
        </w:rPr>
        <w:t>o</w:t>
      </w:r>
      <w:r w:rsidR="00B96BC8" w:rsidRPr="00930387">
        <w:rPr>
          <w:color w:val="000000" w:themeColor="text1"/>
        </w:rPr>
        <w:t>rganization providing</w:t>
      </w:r>
      <w:r w:rsidR="00384884" w:rsidRPr="00930387">
        <w:rPr>
          <w:color w:val="000000" w:themeColor="text1"/>
        </w:rPr>
        <w:t xml:space="preserve"> </w:t>
      </w:r>
      <w:r w:rsidR="006A7089">
        <w:rPr>
          <w:color w:val="000000" w:themeColor="text1"/>
        </w:rPr>
        <w:t>c</w:t>
      </w:r>
      <w:r w:rsidR="00384884" w:rsidRPr="00930387">
        <w:rPr>
          <w:color w:val="000000" w:themeColor="text1"/>
        </w:rPr>
        <w:t xml:space="preserve">ongregate </w:t>
      </w:r>
      <w:r w:rsidR="006A7089">
        <w:rPr>
          <w:color w:val="000000" w:themeColor="text1"/>
        </w:rPr>
        <w:t xml:space="preserve">and </w:t>
      </w:r>
      <w:r w:rsidR="00DA5CB7">
        <w:rPr>
          <w:color w:val="000000" w:themeColor="text1"/>
        </w:rPr>
        <w:t>home-delivered</w:t>
      </w:r>
      <w:r w:rsidR="002F2DC4" w:rsidRPr="00930387">
        <w:rPr>
          <w:color w:val="000000" w:themeColor="text1"/>
        </w:rPr>
        <w:t xml:space="preserve"> services </w:t>
      </w:r>
      <w:r w:rsidRPr="00930387">
        <w:rPr>
          <w:color w:val="000000" w:themeColor="text1"/>
        </w:rPr>
        <w:t>will provide public information</w:t>
      </w:r>
    </w:p>
    <w:p w14:paraId="79FA566B" w14:textId="77777777" w:rsidR="0067512E" w:rsidRPr="00930387" w:rsidRDefault="00E20A96" w:rsidP="006A7089">
      <w:pPr>
        <w:pStyle w:val="DefaultText"/>
        <w:tabs>
          <w:tab w:val="left" w:pos="360"/>
          <w:tab w:val="left" w:pos="1080"/>
        </w:tabs>
        <w:ind w:hanging="720"/>
        <w:rPr>
          <w:color w:val="000000" w:themeColor="text1"/>
        </w:rPr>
      </w:pPr>
      <w:r w:rsidRPr="00930387">
        <w:rPr>
          <w:color w:val="000000" w:themeColor="text1"/>
        </w:rPr>
        <w:t xml:space="preserve">            </w:t>
      </w:r>
      <w:r w:rsidR="00253F05" w:rsidRPr="00930387">
        <w:rPr>
          <w:color w:val="000000" w:themeColor="text1"/>
        </w:rPr>
        <w:t xml:space="preserve">and education activities to ensure that older persons are informed </w:t>
      </w:r>
      <w:r w:rsidRPr="00930387">
        <w:rPr>
          <w:color w:val="000000" w:themeColor="text1"/>
        </w:rPr>
        <w:t>about service availability</w:t>
      </w:r>
      <w:r w:rsidR="00253F05" w:rsidRPr="00930387">
        <w:rPr>
          <w:color w:val="000000" w:themeColor="text1"/>
        </w:rPr>
        <w:t xml:space="preserve"> and </w:t>
      </w:r>
      <w:r w:rsidRPr="00930387">
        <w:rPr>
          <w:color w:val="000000" w:themeColor="text1"/>
        </w:rPr>
        <w:t>how those services may be accessed to provide the</w:t>
      </w:r>
      <w:r w:rsidR="00253F05" w:rsidRPr="00930387">
        <w:rPr>
          <w:color w:val="000000" w:themeColor="text1"/>
        </w:rPr>
        <w:t xml:space="preserve"> maximum opportunity for participation. Public education will be </w:t>
      </w:r>
      <w:r w:rsidR="006A7089">
        <w:rPr>
          <w:color w:val="000000" w:themeColor="text1"/>
        </w:rPr>
        <w:t>p</w:t>
      </w:r>
      <w:r w:rsidR="00930387" w:rsidRPr="00930387">
        <w:rPr>
          <w:color w:val="000000" w:themeColor="text1"/>
        </w:rPr>
        <w:t>rovided by Young at Heart Resources</w:t>
      </w:r>
      <w:r w:rsidR="00B96BC8" w:rsidRPr="00930387">
        <w:rPr>
          <w:color w:val="000000" w:themeColor="text1"/>
        </w:rPr>
        <w:t xml:space="preserve"> </w:t>
      </w:r>
      <w:r w:rsidR="00253F05" w:rsidRPr="00930387">
        <w:rPr>
          <w:color w:val="000000" w:themeColor="text1"/>
        </w:rPr>
        <w:t xml:space="preserve">and the organization </w:t>
      </w:r>
      <w:r w:rsidR="00384884" w:rsidRPr="00930387">
        <w:rPr>
          <w:color w:val="000000" w:themeColor="text1"/>
        </w:rPr>
        <w:t>shall</w:t>
      </w:r>
      <w:r w:rsidR="00930387" w:rsidRPr="00930387">
        <w:rPr>
          <w:color w:val="000000" w:themeColor="text1"/>
        </w:rPr>
        <w:t xml:space="preserve"> </w:t>
      </w:r>
      <w:r w:rsidR="00384884" w:rsidRPr="00930387">
        <w:rPr>
          <w:color w:val="000000" w:themeColor="text1"/>
        </w:rPr>
        <w:t xml:space="preserve">notify </w:t>
      </w:r>
      <w:r w:rsidR="00930387" w:rsidRPr="00930387">
        <w:rPr>
          <w:color w:val="000000" w:themeColor="text1"/>
        </w:rPr>
        <w:t>Young at Heart Resources</w:t>
      </w:r>
      <w:r w:rsidR="0067512E" w:rsidRPr="00930387">
        <w:rPr>
          <w:color w:val="000000" w:themeColor="text1"/>
        </w:rPr>
        <w:t xml:space="preserve"> </w:t>
      </w:r>
      <w:r w:rsidR="002F2DC4" w:rsidRPr="00930387">
        <w:rPr>
          <w:color w:val="000000" w:themeColor="text1"/>
        </w:rPr>
        <w:t>when</w:t>
      </w:r>
      <w:r w:rsidR="00930387" w:rsidRPr="00930387">
        <w:rPr>
          <w:color w:val="000000" w:themeColor="text1"/>
        </w:rPr>
        <w:t xml:space="preserve"> it has been</w:t>
      </w:r>
      <w:r w:rsidR="006A7089">
        <w:rPr>
          <w:color w:val="000000" w:themeColor="text1"/>
        </w:rPr>
        <w:t xml:space="preserve"> completed. (reference exhibit</w:t>
      </w:r>
      <w:r w:rsidR="002F2DC4" w:rsidRPr="00930387">
        <w:rPr>
          <w:color w:val="000000" w:themeColor="text1"/>
        </w:rPr>
        <w:t xml:space="preserve"> C) </w:t>
      </w:r>
    </w:p>
    <w:p w14:paraId="13D24461" w14:textId="77777777" w:rsidR="00384884" w:rsidRPr="00046F73" w:rsidRDefault="00384884" w:rsidP="006A7089">
      <w:pPr>
        <w:pStyle w:val="DefaultText"/>
        <w:tabs>
          <w:tab w:val="left" w:pos="360"/>
          <w:tab w:val="left" w:pos="1080"/>
        </w:tabs>
        <w:ind w:right="-720"/>
      </w:pPr>
    </w:p>
    <w:p w14:paraId="0495FA4F" w14:textId="77777777" w:rsidR="009A123F" w:rsidRPr="00DF49ED" w:rsidRDefault="009A123F" w:rsidP="006A7089">
      <w:pPr>
        <w:pStyle w:val="DefaultText"/>
        <w:tabs>
          <w:tab w:val="left" w:pos="360"/>
          <w:tab w:val="left" w:pos="1080"/>
          <w:tab w:val="left" w:pos="2808"/>
          <w:tab w:val="right" w:pos="6795"/>
        </w:tabs>
        <w:ind w:left="720" w:right="-720" w:hanging="720"/>
        <w:rPr>
          <w:b/>
          <w:bCs/>
          <w:sz w:val="28"/>
        </w:rPr>
      </w:pPr>
      <w:r w:rsidRPr="00DF49ED">
        <w:rPr>
          <w:b/>
          <w:bCs/>
          <w:sz w:val="28"/>
        </w:rPr>
        <w:t xml:space="preserve">Amendments to the </w:t>
      </w:r>
      <w:r w:rsidR="001613E6">
        <w:rPr>
          <w:b/>
          <w:bCs/>
          <w:sz w:val="28"/>
        </w:rPr>
        <w:t>Request for Proposal</w:t>
      </w:r>
    </w:p>
    <w:p w14:paraId="08B05D9A" w14:textId="77777777" w:rsidR="009A123F" w:rsidRPr="00046F73" w:rsidRDefault="009A123F" w:rsidP="003135F9">
      <w:pPr>
        <w:pStyle w:val="DefaultText"/>
        <w:tabs>
          <w:tab w:val="left" w:pos="360"/>
          <w:tab w:val="left" w:pos="1080"/>
        </w:tabs>
        <w:ind w:right="-720" w:hanging="720"/>
      </w:pPr>
    </w:p>
    <w:p w14:paraId="7103998F" w14:textId="77777777" w:rsidR="009A123F" w:rsidRPr="00046F73" w:rsidRDefault="009A123F" w:rsidP="006A7089">
      <w:pPr>
        <w:pStyle w:val="DefaultText"/>
        <w:tabs>
          <w:tab w:val="left" w:pos="360"/>
          <w:tab w:val="left" w:pos="1080"/>
        </w:tabs>
      </w:pPr>
      <w:r w:rsidRPr="00046F73">
        <w:t xml:space="preserve">The </w:t>
      </w:r>
      <w:r w:rsidR="006A7089">
        <w:t>o</w:t>
      </w:r>
      <w:r w:rsidR="001613E6">
        <w:t>rganization</w:t>
      </w:r>
      <w:r w:rsidRPr="00046F73">
        <w:t xml:space="preserve"> assures that it will</w:t>
      </w:r>
      <w:r w:rsidR="00E56F90">
        <w:t>,</w:t>
      </w:r>
      <w:r w:rsidRPr="00046F73">
        <w:t xml:space="preserve"> prior to </w:t>
      </w:r>
      <w:r w:rsidR="006A7089">
        <w:t>implementation,</w:t>
      </w:r>
      <w:r w:rsidR="00481A4E">
        <w:t xml:space="preserve"> </w:t>
      </w:r>
      <w:r w:rsidRPr="00046F73">
        <w:t xml:space="preserve">submit for approval to </w:t>
      </w:r>
      <w:r w:rsidR="00786850">
        <w:t>Young at Heart Resources</w:t>
      </w:r>
      <w:r w:rsidR="00CC733A">
        <w:t xml:space="preserve"> n</w:t>
      </w:r>
      <w:r w:rsidRPr="00046F73">
        <w:t>ecessary documentation of substantial changes, additions</w:t>
      </w:r>
      <w:r w:rsidR="006A7089">
        <w:t>,</w:t>
      </w:r>
      <w:r w:rsidRPr="00046F73">
        <w:t xml:space="preserve"> or deletions to </w:t>
      </w:r>
      <w:r w:rsidR="00384884">
        <w:t>R</w:t>
      </w:r>
      <w:r w:rsidR="00CC733A">
        <w:t xml:space="preserve">equest </w:t>
      </w:r>
      <w:r w:rsidR="00384884">
        <w:t>F</w:t>
      </w:r>
      <w:r w:rsidR="00CC733A">
        <w:t xml:space="preserve">or </w:t>
      </w:r>
      <w:r w:rsidR="00384884">
        <w:t>P</w:t>
      </w:r>
      <w:r w:rsidR="00CC733A">
        <w:t>roposal</w:t>
      </w:r>
      <w:r w:rsidRPr="00046F73">
        <w:t xml:space="preserve"> in accordance with the </w:t>
      </w:r>
      <w:r w:rsidR="00BE78E2" w:rsidRPr="00046F73">
        <w:t xml:space="preserve">Missouri Code of State Regulations </w:t>
      </w:r>
      <w:r w:rsidRPr="00046F73">
        <w:t>and the terms and conditions of the contract.</w:t>
      </w:r>
    </w:p>
    <w:p w14:paraId="32270121" w14:textId="45F83A0B" w:rsidR="009A123F" w:rsidRDefault="009A123F" w:rsidP="006A7089">
      <w:pPr>
        <w:pStyle w:val="DefaultText"/>
        <w:tabs>
          <w:tab w:val="left" w:pos="360"/>
          <w:tab w:val="left" w:pos="1080"/>
          <w:tab w:val="left" w:pos="3708"/>
          <w:tab w:val="right" w:pos="5776"/>
        </w:tabs>
        <w:ind w:right="-720"/>
        <w:rPr>
          <w:b/>
          <w:bCs/>
        </w:rPr>
      </w:pPr>
    </w:p>
    <w:p w14:paraId="5ED786BF" w14:textId="0D59238F" w:rsidR="00E355E6" w:rsidRDefault="00E355E6" w:rsidP="006A7089">
      <w:pPr>
        <w:pStyle w:val="DefaultText"/>
        <w:tabs>
          <w:tab w:val="left" w:pos="360"/>
          <w:tab w:val="left" w:pos="1080"/>
          <w:tab w:val="left" w:pos="3708"/>
          <w:tab w:val="right" w:pos="5776"/>
        </w:tabs>
        <w:ind w:right="-720"/>
        <w:rPr>
          <w:b/>
          <w:bCs/>
        </w:rPr>
      </w:pPr>
    </w:p>
    <w:p w14:paraId="2FB5D415" w14:textId="77777777" w:rsidR="00E355E6" w:rsidRPr="00046F73" w:rsidRDefault="00E355E6" w:rsidP="006A7089">
      <w:pPr>
        <w:pStyle w:val="DefaultText"/>
        <w:tabs>
          <w:tab w:val="left" w:pos="360"/>
          <w:tab w:val="left" w:pos="1080"/>
          <w:tab w:val="left" w:pos="3708"/>
          <w:tab w:val="right" w:pos="5776"/>
        </w:tabs>
        <w:ind w:right="-720"/>
        <w:rPr>
          <w:b/>
          <w:bCs/>
        </w:rPr>
      </w:pPr>
    </w:p>
    <w:p w14:paraId="1D632456" w14:textId="77777777" w:rsidR="009A123F" w:rsidRPr="00046F73" w:rsidRDefault="009A123F" w:rsidP="006A7089">
      <w:pPr>
        <w:pStyle w:val="DefaultText"/>
        <w:tabs>
          <w:tab w:val="left" w:pos="360"/>
          <w:tab w:val="left" w:pos="1080"/>
          <w:tab w:val="left" w:pos="3708"/>
          <w:tab w:val="right" w:pos="5776"/>
        </w:tabs>
        <w:ind w:left="720" w:right="-720" w:hanging="720"/>
        <w:rPr>
          <w:b/>
          <w:bCs/>
        </w:rPr>
      </w:pPr>
      <w:r w:rsidRPr="00DF49ED">
        <w:rPr>
          <w:b/>
          <w:bCs/>
          <w:sz w:val="28"/>
        </w:rPr>
        <w:t>Special Menus</w:t>
      </w:r>
      <w:r w:rsidR="00584F11" w:rsidRPr="00DF49ED">
        <w:rPr>
          <w:b/>
          <w:bCs/>
          <w:sz w:val="28"/>
        </w:rPr>
        <w:t xml:space="preserve"> </w:t>
      </w:r>
      <w:r w:rsidR="00584F11" w:rsidRPr="00046F73">
        <w:rPr>
          <w:b/>
          <w:bCs/>
        </w:rPr>
        <w:t>(19 CSR 15-7.060(8) Nutrition Service Standards)</w:t>
      </w:r>
    </w:p>
    <w:p w14:paraId="7F75A672" w14:textId="77777777" w:rsidR="009A123F" w:rsidRPr="00046F73" w:rsidRDefault="009A123F" w:rsidP="003135F9">
      <w:pPr>
        <w:pStyle w:val="DefaultText"/>
        <w:tabs>
          <w:tab w:val="left" w:pos="360"/>
          <w:tab w:val="left" w:pos="1080"/>
        </w:tabs>
        <w:ind w:right="-720" w:hanging="720"/>
      </w:pPr>
    </w:p>
    <w:p w14:paraId="5F7F4DE3" w14:textId="77777777" w:rsidR="00253F05" w:rsidRDefault="009A123F" w:rsidP="006A7089">
      <w:pPr>
        <w:pStyle w:val="DefaultText"/>
        <w:tabs>
          <w:tab w:val="left" w:pos="360"/>
          <w:tab w:val="left" w:pos="1080"/>
        </w:tabs>
        <w:ind w:left="720" w:hanging="720"/>
      </w:pPr>
      <w:r w:rsidRPr="00046F73">
        <w:t xml:space="preserve">The </w:t>
      </w:r>
      <w:r w:rsidR="006A7089">
        <w:t>o</w:t>
      </w:r>
      <w:r w:rsidR="00253F05">
        <w:t>rganization</w:t>
      </w:r>
      <w:r w:rsidRPr="00046F73">
        <w:t xml:space="preserve"> assures that it will provide special menus, where feasible and appropriate to meet the </w:t>
      </w:r>
    </w:p>
    <w:p w14:paraId="31DBDBA7" w14:textId="77777777" w:rsidR="009A123F" w:rsidRPr="00046F73" w:rsidRDefault="009A123F" w:rsidP="006A7089">
      <w:pPr>
        <w:pStyle w:val="DefaultText"/>
        <w:tabs>
          <w:tab w:val="left" w:pos="360"/>
          <w:tab w:val="left" w:pos="1080"/>
        </w:tabs>
      </w:pPr>
      <w:r w:rsidRPr="00046F73">
        <w:t>particular</w:t>
      </w:r>
      <w:r w:rsidR="00253F05">
        <w:t xml:space="preserve"> </w:t>
      </w:r>
      <w:r w:rsidRPr="00046F73">
        <w:t>dietary needs arising from the health requirements, religious requirements, or ethnic backgrounds of older</w:t>
      </w:r>
      <w:r w:rsidR="00253F05">
        <w:t xml:space="preserve"> </w:t>
      </w:r>
      <w:r w:rsidRPr="00046F73">
        <w:t xml:space="preserve">eligible </w:t>
      </w:r>
      <w:r w:rsidR="00786850">
        <w:t>adults</w:t>
      </w:r>
      <w:r w:rsidRPr="00046F73">
        <w:t>.</w:t>
      </w:r>
    </w:p>
    <w:p w14:paraId="5A865581" w14:textId="77777777" w:rsidR="00314417" w:rsidRPr="00046F73" w:rsidRDefault="00314417" w:rsidP="003135F9">
      <w:pPr>
        <w:pStyle w:val="DefaultText"/>
        <w:tabs>
          <w:tab w:val="left" w:pos="1536"/>
          <w:tab w:val="right" w:pos="7852"/>
        </w:tabs>
        <w:ind w:left="-720" w:right="-720"/>
        <w:rPr>
          <w:b/>
        </w:rPr>
      </w:pPr>
    </w:p>
    <w:p w14:paraId="6E8B2CC6" w14:textId="77777777" w:rsidR="00253F05" w:rsidRDefault="00253F05" w:rsidP="003135F9">
      <w:pPr>
        <w:pStyle w:val="DefaultText"/>
        <w:tabs>
          <w:tab w:val="left" w:pos="1536"/>
          <w:tab w:val="right" w:pos="7852"/>
        </w:tabs>
        <w:ind w:left="-720" w:right="-720"/>
        <w:rPr>
          <w:b/>
          <w:bCs/>
          <w:sz w:val="28"/>
        </w:rPr>
      </w:pPr>
    </w:p>
    <w:p w14:paraId="6C418BE2" w14:textId="77777777" w:rsidR="009A123F" w:rsidRPr="00046F73" w:rsidRDefault="009A123F" w:rsidP="006A7089">
      <w:pPr>
        <w:pStyle w:val="DefaultText"/>
        <w:tabs>
          <w:tab w:val="left" w:pos="1536"/>
          <w:tab w:val="right" w:pos="7852"/>
        </w:tabs>
        <w:ind w:right="-720"/>
        <w:rPr>
          <w:b/>
          <w:bCs/>
        </w:rPr>
      </w:pPr>
      <w:r w:rsidRPr="00DF49ED">
        <w:rPr>
          <w:b/>
          <w:bCs/>
          <w:sz w:val="28"/>
        </w:rPr>
        <w:t>Access to Programs by Older Native Americans</w:t>
      </w:r>
      <w:r w:rsidR="00584F11" w:rsidRPr="00DF49ED">
        <w:rPr>
          <w:b/>
          <w:bCs/>
          <w:sz w:val="28"/>
        </w:rPr>
        <w:t xml:space="preserve"> </w:t>
      </w:r>
      <w:r w:rsidR="00584F11" w:rsidRPr="00046F73">
        <w:rPr>
          <w:b/>
          <w:bCs/>
        </w:rPr>
        <w:t>(OAA Section 306(a)(11))</w:t>
      </w:r>
    </w:p>
    <w:p w14:paraId="29A042EE" w14:textId="77777777" w:rsidR="009A123F" w:rsidRPr="00046F73" w:rsidRDefault="009A123F" w:rsidP="003135F9">
      <w:pPr>
        <w:pStyle w:val="DefaultText"/>
        <w:ind w:right="-720"/>
      </w:pPr>
    </w:p>
    <w:p w14:paraId="0434789C" w14:textId="77777777" w:rsidR="009A123F" w:rsidRPr="00046F73" w:rsidRDefault="009A123F" w:rsidP="006A7089">
      <w:pPr>
        <w:pStyle w:val="DefaultText"/>
        <w:tabs>
          <w:tab w:val="left" w:pos="0"/>
          <w:tab w:val="left" w:pos="1440"/>
        </w:tabs>
      </w:pPr>
      <w:r w:rsidRPr="00046F73">
        <w:t xml:space="preserve">The </w:t>
      </w:r>
      <w:r w:rsidR="006A7089">
        <w:t>o</w:t>
      </w:r>
      <w:r w:rsidR="00253F05">
        <w:t>rganization</w:t>
      </w:r>
      <w:r w:rsidRPr="00046F73">
        <w:t xml:space="preserve"> assures that it will determine if a significant population of older Native Americans reside in the</w:t>
      </w:r>
      <w:r w:rsidR="00253F05">
        <w:t xml:space="preserve"> </w:t>
      </w:r>
      <w:r w:rsidR="006A7089">
        <w:t>planning and s</w:t>
      </w:r>
      <w:r w:rsidR="00253F05">
        <w:t xml:space="preserve">ervice </w:t>
      </w:r>
      <w:r w:rsidR="006A7089">
        <w:t>a</w:t>
      </w:r>
      <w:r w:rsidR="00253F05">
        <w:t>rea</w:t>
      </w:r>
      <w:r w:rsidRPr="00046F73">
        <w:t>. If so</w:t>
      </w:r>
      <w:r w:rsidR="00E56F90">
        <w:t xml:space="preserve">, </w:t>
      </w:r>
      <w:r w:rsidRPr="00046F73">
        <w:t xml:space="preserve">the </w:t>
      </w:r>
      <w:r w:rsidR="006A7089">
        <w:t>o</w:t>
      </w:r>
      <w:r w:rsidR="00253F05">
        <w:t>rganization</w:t>
      </w:r>
      <w:r w:rsidR="00E56F90">
        <w:t xml:space="preserve"> will assure that it will</w:t>
      </w:r>
      <w:r w:rsidRPr="00046F73">
        <w:t xml:space="preserve"> pursue outreach activities to</w:t>
      </w:r>
      <w:r w:rsidR="006A7089">
        <w:t xml:space="preserve"> </w:t>
      </w:r>
      <w:r w:rsidRPr="00046F73">
        <w:t xml:space="preserve">increase access of those older Native Americans </w:t>
      </w:r>
      <w:r w:rsidR="00E56F90">
        <w:t xml:space="preserve">to </w:t>
      </w:r>
      <w:r w:rsidR="00A36134">
        <w:t xml:space="preserve">all services provided under the </w:t>
      </w:r>
      <w:r w:rsidR="00253F05">
        <w:t>Request for Proposal</w:t>
      </w:r>
      <w:r w:rsidR="00A36134">
        <w:t>.</w:t>
      </w:r>
      <w:r w:rsidR="006A7089">
        <w:t xml:space="preserve"> </w:t>
      </w:r>
      <w:r w:rsidRPr="00046F73">
        <w:t xml:space="preserve">All services under the </w:t>
      </w:r>
      <w:r w:rsidR="000D7808">
        <w:t>Request for Proposal</w:t>
      </w:r>
      <w:r w:rsidRPr="00046F73">
        <w:t xml:space="preserve"> will be made available</w:t>
      </w:r>
      <w:r w:rsidR="000D7808">
        <w:t xml:space="preserve"> </w:t>
      </w:r>
      <w:r w:rsidRPr="00046F73">
        <w:t xml:space="preserve">to </w:t>
      </w:r>
      <w:r w:rsidR="006A7089">
        <w:t>o</w:t>
      </w:r>
      <w:r w:rsidRPr="00046F73">
        <w:t>lder</w:t>
      </w:r>
      <w:r w:rsidR="00E56F90">
        <w:t xml:space="preserve"> </w:t>
      </w:r>
      <w:r w:rsidRPr="00046F73">
        <w:t xml:space="preserve">Native Americans to the same extent as such services are available to all older </w:t>
      </w:r>
      <w:r w:rsidR="00786850">
        <w:t>adults</w:t>
      </w:r>
      <w:r w:rsidRPr="00046F73">
        <w:t xml:space="preserve">. </w:t>
      </w:r>
    </w:p>
    <w:p w14:paraId="6C03AB79" w14:textId="77777777" w:rsidR="00E40BAC" w:rsidRPr="00046F73" w:rsidRDefault="00E40BAC" w:rsidP="003135F9">
      <w:pPr>
        <w:pStyle w:val="DefaultText"/>
        <w:tabs>
          <w:tab w:val="left" w:pos="3576"/>
          <w:tab w:val="right" w:pos="5920"/>
        </w:tabs>
        <w:ind w:left="-720" w:right="-720"/>
        <w:rPr>
          <w:b/>
          <w:bCs/>
        </w:rPr>
      </w:pPr>
    </w:p>
    <w:p w14:paraId="63D620A3" w14:textId="77777777" w:rsidR="009A123F" w:rsidRPr="00046F73" w:rsidRDefault="009A123F" w:rsidP="003135F9">
      <w:pPr>
        <w:pStyle w:val="DefaultText"/>
        <w:tabs>
          <w:tab w:val="left" w:pos="360"/>
        </w:tabs>
        <w:ind w:right="-720"/>
      </w:pPr>
    </w:p>
    <w:p w14:paraId="28AF0BC5" w14:textId="77777777" w:rsidR="009A123F" w:rsidRPr="00046F73" w:rsidRDefault="009A123F" w:rsidP="006A7089">
      <w:pPr>
        <w:pStyle w:val="BodySingle"/>
        <w:ind w:left="720" w:right="-720" w:hanging="720"/>
        <w:rPr>
          <w:b/>
          <w:bCs/>
        </w:rPr>
      </w:pPr>
      <w:r w:rsidRPr="00DF49ED">
        <w:rPr>
          <w:b/>
          <w:bCs/>
          <w:sz w:val="28"/>
        </w:rPr>
        <w:t>Senior Center Assurances</w:t>
      </w:r>
      <w:r w:rsidR="0071468C" w:rsidRPr="00DF49ED">
        <w:rPr>
          <w:b/>
          <w:bCs/>
          <w:sz w:val="28"/>
        </w:rPr>
        <w:t xml:space="preserve"> </w:t>
      </w:r>
      <w:r w:rsidR="0071468C" w:rsidRPr="00046F73">
        <w:rPr>
          <w:b/>
          <w:bCs/>
        </w:rPr>
        <w:t>(19 CSR 15-4.175 (3))</w:t>
      </w:r>
    </w:p>
    <w:p w14:paraId="5E635663" w14:textId="77777777" w:rsidR="009A123F" w:rsidRPr="00046F73" w:rsidRDefault="009A123F" w:rsidP="003135F9">
      <w:pPr>
        <w:pStyle w:val="BodySingle"/>
        <w:ind w:right="-720" w:hanging="720"/>
        <w:rPr>
          <w:b/>
          <w:bCs/>
        </w:rPr>
      </w:pPr>
    </w:p>
    <w:p w14:paraId="23F5FB4B" w14:textId="77777777" w:rsidR="009A123F" w:rsidRPr="00046F73" w:rsidRDefault="009A123F" w:rsidP="006A7089">
      <w:pPr>
        <w:pStyle w:val="DefaultText"/>
        <w:tabs>
          <w:tab w:val="left" w:pos="360"/>
        </w:tabs>
      </w:pPr>
      <w:r w:rsidRPr="00046F73">
        <w:t xml:space="preserve">The </w:t>
      </w:r>
      <w:r w:rsidR="006A7089">
        <w:t>o</w:t>
      </w:r>
      <w:r w:rsidR="000D7808">
        <w:t>rganization</w:t>
      </w:r>
      <w:r w:rsidR="00A656BD">
        <w:t xml:space="preserve"> for congregate services</w:t>
      </w:r>
      <w:r w:rsidRPr="00046F73">
        <w:t xml:space="preserve"> assures that at any time there is a plan to open, relocate, renovate</w:t>
      </w:r>
      <w:r w:rsidR="006A7089">
        <w:t>,</w:t>
      </w:r>
      <w:r w:rsidRPr="00046F73">
        <w:t xml:space="preserve"> or terminate a senior </w:t>
      </w:r>
      <w:r w:rsidR="00E56F90">
        <w:t>center,</w:t>
      </w:r>
      <w:r w:rsidR="00786850">
        <w:t xml:space="preserve"> a thirty(30) day </w:t>
      </w:r>
      <w:r w:rsidRPr="00046F73">
        <w:t xml:space="preserve">prior notice </w:t>
      </w:r>
      <w:r w:rsidR="00786850">
        <w:t>must</w:t>
      </w:r>
      <w:r w:rsidRPr="00046F73">
        <w:t xml:space="preserve"> be given to </w:t>
      </w:r>
      <w:r w:rsidR="00786850">
        <w:t>Young at Heart Resources</w:t>
      </w:r>
      <w:r w:rsidR="00A656BD">
        <w:t>.</w:t>
      </w:r>
      <w:r w:rsidRPr="00046F73">
        <w:t xml:space="preserve"> </w:t>
      </w:r>
    </w:p>
    <w:p w14:paraId="2EB6323B" w14:textId="77777777" w:rsidR="00A31DAB" w:rsidRDefault="00A31DAB" w:rsidP="003135F9">
      <w:pPr>
        <w:pStyle w:val="DefaultText"/>
        <w:tabs>
          <w:tab w:val="left" w:pos="3096"/>
          <w:tab w:val="right" w:pos="6541"/>
        </w:tabs>
        <w:ind w:left="-720" w:right="-720"/>
        <w:rPr>
          <w:b/>
        </w:rPr>
      </w:pPr>
    </w:p>
    <w:p w14:paraId="1EB1CDF0" w14:textId="77777777" w:rsidR="00A31DAB" w:rsidRPr="00046F73" w:rsidRDefault="00A31DAB" w:rsidP="003135F9">
      <w:pPr>
        <w:pStyle w:val="DefaultText"/>
        <w:tabs>
          <w:tab w:val="left" w:pos="3096"/>
          <w:tab w:val="right" w:pos="6541"/>
        </w:tabs>
        <w:ind w:left="-720" w:right="-720"/>
        <w:rPr>
          <w:b/>
        </w:rPr>
      </w:pPr>
    </w:p>
    <w:p w14:paraId="26363520" w14:textId="77777777" w:rsidR="009A123F" w:rsidRPr="00DF49ED" w:rsidRDefault="009A123F" w:rsidP="006A7089">
      <w:pPr>
        <w:pStyle w:val="Heading1"/>
        <w:ind w:left="0"/>
        <w:jc w:val="left"/>
        <w:rPr>
          <w:rFonts w:ascii="Times New Roman" w:hAnsi="Times New Roman"/>
          <w:sz w:val="28"/>
        </w:rPr>
      </w:pPr>
      <w:r w:rsidRPr="00DF49ED">
        <w:rPr>
          <w:rFonts w:ascii="Times New Roman" w:hAnsi="Times New Roman"/>
          <w:sz w:val="28"/>
        </w:rPr>
        <w:t>Accuracy of Information</w:t>
      </w:r>
    </w:p>
    <w:p w14:paraId="08A0C44D" w14:textId="77777777" w:rsidR="009A123F" w:rsidRPr="00046F73" w:rsidRDefault="009A123F" w:rsidP="003135F9"/>
    <w:p w14:paraId="1A976FE1" w14:textId="77777777" w:rsidR="009A123F" w:rsidRPr="00046F73" w:rsidRDefault="009A123F" w:rsidP="003135F9">
      <w:r w:rsidRPr="00046F73">
        <w:t xml:space="preserve">The </w:t>
      </w:r>
      <w:r w:rsidR="006A7089">
        <w:t>o</w:t>
      </w:r>
      <w:r w:rsidR="000D7808">
        <w:t>rganization</w:t>
      </w:r>
      <w:r w:rsidRPr="00046F73">
        <w:t xml:space="preserve"> assures that it will maintain</w:t>
      </w:r>
      <w:r w:rsidR="00E56F90">
        <w:t>, monitor</w:t>
      </w:r>
      <w:r w:rsidR="006A7089">
        <w:t>,</w:t>
      </w:r>
      <w:r w:rsidR="00E56F90">
        <w:t xml:space="preserve"> and update all web</w:t>
      </w:r>
      <w:r w:rsidRPr="00046F73">
        <w:t>site information on a regular basis, and as nec</w:t>
      </w:r>
      <w:r w:rsidR="006A7089">
        <w:t xml:space="preserve">essary. </w:t>
      </w:r>
      <w:r w:rsidR="00E56F90">
        <w:t xml:space="preserve">Electronic information </w:t>
      </w:r>
      <w:r w:rsidRPr="00046F73">
        <w:t>includes, but is not limited to</w:t>
      </w:r>
      <w:r w:rsidR="00E56F90">
        <w:t>,</w:t>
      </w:r>
      <w:r w:rsidRPr="00046F73">
        <w:t xml:space="preserve"> the </w:t>
      </w:r>
      <w:r w:rsidR="006A7089">
        <w:t>o</w:t>
      </w:r>
      <w:r w:rsidR="000D7808">
        <w:t>rganization</w:t>
      </w:r>
      <w:r w:rsidR="00A656BD">
        <w:t>’s</w:t>
      </w:r>
      <w:r w:rsidR="00E56F90">
        <w:t xml:space="preserve"> web</w:t>
      </w:r>
      <w:r w:rsidRPr="00046F73">
        <w:t>site and al</w:t>
      </w:r>
      <w:r w:rsidR="00E56F90">
        <w:t>l information pertaining to web-</w:t>
      </w:r>
      <w:r w:rsidRPr="00046F73">
        <w:t>based information</w:t>
      </w:r>
      <w:r w:rsidR="00A656BD">
        <w:t>.</w:t>
      </w:r>
      <w:r w:rsidRPr="00046F73">
        <w:t xml:space="preserve"> </w:t>
      </w:r>
    </w:p>
    <w:p w14:paraId="3EABBD2A" w14:textId="77777777" w:rsidR="00AE2E41" w:rsidRPr="00046F73" w:rsidRDefault="00AE2E41" w:rsidP="003135F9">
      <w:pPr>
        <w:pStyle w:val="DefaultText"/>
        <w:tabs>
          <w:tab w:val="left" w:pos="-540"/>
          <w:tab w:val="right" w:pos="8056"/>
        </w:tabs>
        <w:ind w:left="-720" w:right="-720"/>
      </w:pPr>
    </w:p>
    <w:p w14:paraId="5D84D776" w14:textId="77777777" w:rsidR="00716C27" w:rsidRPr="00046F73" w:rsidRDefault="00716C27" w:rsidP="003135F9">
      <w:pPr>
        <w:pStyle w:val="DefaultText"/>
        <w:tabs>
          <w:tab w:val="left" w:pos="-540"/>
          <w:tab w:val="right" w:pos="8056"/>
        </w:tabs>
        <w:ind w:left="-720" w:right="-720"/>
      </w:pPr>
    </w:p>
    <w:p w14:paraId="4C4AB696" w14:textId="38E85575" w:rsidR="00AE2E41" w:rsidRPr="00046F73" w:rsidRDefault="00E56F90" w:rsidP="003135F9">
      <w:pPr>
        <w:pStyle w:val="DefaultText"/>
        <w:tabs>
          <w:tab w:val="left" w:pos="3648"/>
        </w:tabs>
        <w:ind w:left="-720" w:right="-720"/>
      </w:pPr>
      <w:r>
        <w:t xml:space="preserve">             </w:t>
      </w:r>
      <w:r w:rsidR="0067172C">
        <w:rPr>
          <w:noProof/>
        </w:rPr>
        <w:drawing>
          <wp:inline distT="0" distB="0" distL="0" distR="0" wp14:anchorId="35963BD8" wp14:editId="7AA5778D">
            <wp:extent cx="2619375" cy="285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28575"/>
                    </a:xfrm>
                    <a:prstGeom prst="rect">
                      <a:avLst/>
                    </a:prstGeom>
                    <a:noFill/>
                    <a:ln>
                      <a:noFill/>
                    </a:ln>
                  </pic:spPr>
                </pic:pic>
              </a:graphicData>
            </a:graphic>
          </wp:inline>
        </w:drawing>
      </w:r>
      <w:r w:rsidR="00AE2E41" w:rsidRPr="00046F73">
        <w:tab/>
      </w:r>
      <w:r w:rsidR="00AE2E41" w:rsidRPr="00046F73">
        <w:tab/>
      </w:r>
      <w:r w:rsidR="00AE2E41" w:rsidRPr="00046F73">
        <w:tab/>
      </w:r>
      <w:r w:rsidR="0067172C">
        <w:rPr>
          <w:noProof/>
        </w:rPr>
        <w:drawing>
          <wp:inline distT="0" distB="0" distL="0" distR="0" wp14:anchorId="5F82AEE0" wp14:editId="22A5BC4E">
            <wp:extent cx="2619375" cy="28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28575"/>
                    </a:xfrm>
                    <a:prstGeom prst="rect">
                      <a:avLst/>
                    </a:prstGeom>
                    <a:noFill/>
                    <a:ln>
                      <a:noFill/>
                    </a:ln>
                  </pic:spPr>
                </pic:pic>
              </a:graphicData>
            </a:graphic>
          </wp:inline>
        </w:drawing>
      </w:r>
    </w:p>
    <w:p w14:paraId="694B87D5" w14:textId="77777777" w:rsidR="00AE2E41" w:rsidRPr="00046F73" w:rsidRDefault="00E56F90" w:rsidP="003135F9">
      <w:pPr>
        <w:pStyle w:val="DefaultText"/>
        <w:tabs>
          <w:tab w:val="left" w:pos="3648"/>
        </w:tabs>
        <w:ind w:left="-720" w:right="-720"/>
      </w:pPr>
      <w:r>
        <w:t xml:space="preserve">             </w:t>
      </w:r>
      <w:r w:rsidR="00786850">
        <w:t xml:space="preserve">Governing Board Chair </w:t>
      </w:r>
      <w:r w:rsidR="00AE2E41" w:rsidRPr="00046F73">
        <w:tab/>
      </w:r>
      <w:r w:rsidR="00AE2E41" w:rsidRPr="00046F73">
        <w:tab/>
      </w:r>
      <w:r w:rsidR="00AE2E41" w:rsidRPr="00046F73">
        <w:tab/>
      </w:r>
      <w:r>
        <w:t xml:space="preserve">            </w:t>
      </w:r>
      <w:r w:rsidR="00AE2E41" w:rsidRPr="00046F73">
        <w:t xml:space="preserve">Date       </w:t>
      </w:r>
    </w:p>
    <w:p w14:paraId="11A6F370" w14:textId="77777777" w:rsidR="00051A4F" w:rsidRPr="00046F73" w:rsidRDefault="00051A4F" w:rsidP="00051A4F">
      <w:pPr>
        <w:pStyle w:val="DefaultText"/>
        <w:tabs>
          <w:tab w:val="left" w:pos="3648"/>
        </w:tabs>
        <w:ind w:left="-720" w:right="-720"/>
      </w:pPr>
    </w:p>
    <w:p w14:paraId="4CD5C93B" w14:textId="77777777" w:rsidR="00716C27" w:rsidRPr="00046F73" w:rsidRDefault="00716C27" w:rsidP="00051A4F">
      <w:pPr>
        <w:pStyle w:val="DefaultText"/>
        <w:tabs>
          <w:tab w:val="left" w:pos="3648"/>
        </w:tabs>
        <w:ind w:left="-720" w:right="-720"/>
      </w:pPr>
    </w:p>
    <w:p w14:paraId="4095C974" w14:textId="77777777" w:rsidR="00051A4F" w:rsidRPr="00046F73" w:rsidRDefault="00E56F90" w:rsidP="00051A4F">
      <w:pPr>
        <w:pStyle w:val="DefaultText"/>
        <w:ind w:right="-180" w:hanging="720"/>
      </w:pPr>
      <w:r>
        <w:t xml:space="preserve">             </w:t>
      </w:r>
    </w:p>
    <w:p w14:paraId="4D5E4BFE" w14:textId="77777777" w:rsidR="008A65D5" w:rsidRPr="00046F73" w:rsidRDefault="008A65D5" w:rsidP="008A65D5">
      <w:pPr>
        <w:pStyle w:val="DefaultText"/>
        <w:tabs>
          <w:tab w:val="left" w:pos="3648"/>
        </w:tabs>
        <w:ind w:left="-720" w:right="-720"/>
      </w:pPr>
    </w:p>
    <w:sectPr w:rsidR="008A65D5" w:rsidRPr="00046F73" w:rsidSect="00473BE0">
      <w:headerReference w:type="default" r:id="rId9"/>
      <w:footerReference w:type="default" r:id="rId10"/>
      <w:pgSz w:w="12240" w:h="15840" w:code="1"/>
      <w:pgMar w:top="1440" w:right="1260" w:bottom="1440" w:left="108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8811E" w14:textId="77777777" w:rsidR="00A14C5D" w:rsidRDefault="00A14C5D">
      <w:r>
        <w:separator/>
      </w:r>
    </w:p>
  </w:endnote>
  <w:endnote w:type="continuationSeparator" w:id="0">
    <w:p w14:paraId="4C9D9A44" w14:textId="77777777" w:rsidR="00A14C5D" w:rsidRDefault="00A14C5D">
      <w:r>
        <w:continuationSeparator/>
      </w:r>
    </w:p>
  </w:endnote>
  <w:endnote w:type="continuationNotice" w:id="1">
    <w:p w14:paraId="47AB43D0" w14:textId="77777777" w:rsidR="00A14C5D" w:rsidRDefault="00A14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rod">
    <w:altName w:val="Cambria Math"/>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JGNKO H+ New Century Schlbk">
    <w:altName w:val="Century 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D577" w14:textId="488AFB5F" w:rsidR="00327AD0" w:rsidRPr="00327AD0" w:rsidRDefault="00F2767F">
    <w:pPr>
      <w:pStyle w:val="Footer"/>
      <w:pBdr>
        <w:top w:val="thinThickSmallGap" w:sz="24" w:space="1" w:color="622423" w:themeColor="accent2" w:themeShade="7F"/>
      </w:pBdr>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Revised </w:t>
    </w:r>
    <w:r w:rsidR="00473BE0">
      <w:rPr>
        <w:rFonts w:asciiTheme="majorHAnsi" w:eastAsiaTheme="majorEastAsia" w:hAnsiTheme="majorHAnsi" w:cstheme="majorBidi"/>
        <w:sz w:val="22"/>
        <w:szCs w:val="22"/>
      </w:rPr>
      <w:t>SFY</w:t>
    </w:r>
    <w:r>
      <w:rPr>
        <w:rFonts w:asciiTheme="majorHAnsi" w:eastAsiaTheme="majorEastAsia" w:hAnsiTheme="majorHAnsi" w:cstheme="majorBidi"/>
        <w:sz w:val="22"/>
        <w:szCs w:val="22"/>
      </w:rPr>
      <w:t xml:space="preserve"> 202</w:t>
    </w:r>
    <w:r w:rsidR="0067172C">
      <w:rPr>
        <w:rFonts w:asciiTheme="majorHAnsi" w:eastAsiaTheme="majorEastAsia" w:hAnsiTheme="majorHAnsi" w:cstheme="majorBidi"/>
        <w:sz w:val="22"/>
        <w:szCs w:val="22"/>
      </w:rPr>
      <w:t>3</w:t>
    </w:r>
    <w:r w:rsidR="00327AD0" w:rsidRPr="00327AD0">
      <w:rPr>
        <w:rFonts w:asciiTheme="majorHAnsi" w:eastAsiaTheme="majorEastAsia" w:hAnsiTheme="majorHAnsi" w:cstheme="majorBidi"/>
        <w:sz w:val="22"/>
        <w:szCs w:val="22"/>
      </w:rPr>
      <w:ptab w:relativeTo="margin" w:alignment="right" w:leader="none"/>
    </w:r>
    <w:r w:rsidR="00327AD0" w:rsidRPr="00327AD0">
      <w:rPr>
        <w:rFonts w:asciiTheme="majorHAnsi" w:eastAsiaTheme="majorEastAsia" w:hAnsiTheme="majorHAnsi" w:cstheme="majorBidi"/>
        <w:sz w:val="22"/>
        <w:szCs w:val="22"/>
      </w:rPr>
      <w:t xml:space="preserve">Page </w:t>
    </w:r>
    <w:r w:rsidR="00327AD0" w:rsidRPr="00327AD0">
      <w:rPr>
        <w:rFonts w:asciiTheme="minorHAnsi" w:eastAsiaTheme="minorEastAsia" w:hAnsiTheme="minorHAnsi" w:cstheme="minorBidi"/>
        <w:sz w:val="22"/>
        <w:szCs w:val="22"/>
      </w:rPr>
      <w:fldChar w:fldCharType="begin"/>
    </w:r>
    <w:r w:rsidR="00327AD0" w:rsidRPr="00327AD0">
      <w:rPr>
        <w:sz w:val="22"/>
        <w:szCs w:val="22"/>
      </w:rPr>
      <w:instrText xml:space="preserve"> PAGE   \* MERGEFORMAT </w:instrText>
    </w:r>
    <w:r w:rsidR="00327AD0" w:rsidRPr="00327AD0">
      <w:rPr>
        <w:rFonts w:asciiTheme="minorHAnsi" w:eastAsiaTheme="minorEastAsia" w:hAnsiTheme="minorHAnsi" w:cstheme="minorBidi"/>
        <w:sz w:val="22"/>
        <w:szCs w:val="22"/>
      </w:rPr>
      <w:fldChar w:fldCharType="separate"/>
    </w:r>
    <w:r w:rsidR="002D0F4A" w:rsidRPr="002D0F4A">
      <w:rPr>
        <w:rFonts w:asciiTheme="majorHAnsi" w:eastAsiaTheme="majorEastAsia" w:hAnsiTheme="majorHAnsi" w:cstheme="majorBidi"/>
        <w:noProof/>
        <w:sz w:val="22"/>
        <w:szCs w:val="22"/>
      </w:rPr>
      <w:t>1</w:t>
    </w:r>
    <w:r w:rsidR="00327AD0" w:rsidRPr="00327AD0">
      <w:rPr>
        <w:rFonts w:asciiTheme="majorHAnsi" w:eastAsiaTheme="majorEastAsia" w:hAnsiTheme="majorHAnsi" w:cstheme="majorBidi"/>
        <w:noProof/>
        <w:sz w:val="22"/>
        <w:szCs w:val="22"/>
      </w:rPr>
      <w:fldChar w:fldCharType="end"/>
    </w:r>
  </w:p>
  <w:p w14:paraId="767F2845" w14:textId="77777777" w:rsidR="00C570B4" w:rsidRPr="00327AD0" w:rsidRDefault="00C570B4" w:rsidP="000E7D4E">
    <w:pPr>
      <w:pStyle w:val="Footer"/>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BA64F" w14:textId="77777777" w:rsidR="00A14C5D" w:rsidRDefault="00A14C5D">
      <w:r>
        <w:separator/>
      </w:r>
    </w:p>
  </w:footnote>
  <w:footnote w:type="continuationSeparator" w:id="0">
    <w:p w14:paraId="2DA8DCA0" w14:textId="77777777" w:rsidR="00A14C5D" w:rsidRDefault="00A14C5D">
      <w:r>
        <w:continuationSeparator/>
      </w:r>
    </w:p>
  </w:footnote>
  <w:footnote w:type="continuationNotice" w:id="1">
    <w:p w14:paraId="133942B2" w14:textId="77777777" w:rsidR="00A14C5D" w:rsidRDefault="00A14C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88D3" w14:textId="55D704D3" w:rsidR="00FC370C" w:rsidRPr="00DB4D3E" w:rsidRDefault="00F2767F" w:rsidP="00FC370C">
    <w:pPr>
      <w:pStyle w:val="Header"/>
      <w:jc w:val="center"/>
      <w:rPr>
        <w:b/>
        <w:lang w:val="fr-FR"/>
      </w:rPr>
    </w:pPr>
    <w:r w:rsidRPr="00DB4D3E">
      <w:rPr>
        <w:b/>
        <w:lang w:val="fr-FR"/>
      </w:rPr>
      <w:t>SFY 202</w:t>
    </w:r>
    <w:r w:rsidR="0067172C" w:rsidRPr="00DB4D3E">
      <w:rPr>
        <w:b/>
        <w:lang w:val="fr-FR"/>
      </w:rPr>
      <w:t>4</w:t>
    </w:r>
  </w:p>
  <w:p w14:paraId="58FECB23" w14:textId="77777777" w:rsidR="00F2767F" w:rsidRPr="00DB4D3E" w:rsidRDefault="00F2767F" w:rsidP="00FC370C">
    <w:pPr>
      <w:pStyle w:val="Header"/>
      <w:jc w:val="center"/>
      <w:rPr>
        <w:b/>
        <w:lang w:val="fr-FR"/>
      </w:rPr>
    </w:pPr>
    <w:r w:rsidRPr="00DB4D3E">
      <w:rPr>
        <w:b/>
        <w:lang w:val="fr-FR"/>
      </w:rPr>
      <w:t>RFP</w:t>
    </w:r>
    <w:r w:rsidR="003135F9" w:rsidRPr="00DB4D3E">
      <w:rPr>
        <w:b/>
        <w:lang w:val="fr-FR"/>
      </w:rPr>
      <w:t xml:space="preserve"> </w:t>
    </w:r>
    <w:r w:rsidRPr="00DB4D3E">
      <w:rPr>
        <w:b/>
        <w:lang w:val="fr-FR"/>
      </w:rPr>
      <w:t>-</w:t>
    </w:r>
    <w:r w:rsidR="003135F9" w:rsidRPr="00DB4D3E">
      <w:rPr>
        <w:b/>
        <w:lang w:val="fr-FR"/>
      </w:rPr>
      <w:t xml:space="preserve"> </w:t>
    </w:r>
    <w:r w:rsidRPr="00DB4D3E">
      <w:rPr>
        <w:b/>
        <w:lang w:val="fr-FR"/>
      </w:rPr>
      <w:t xml:space="preserve">NUTRITION SERVICES </w:t>
    </w:r>
  </w:p>
  <w:p w14:paraId="41C3D84E" w14:textId="77777777" w:rsidR="003135F9" w:rsidRPr="00DB4D3E" w:rsidRDefault="003135F9" w:rsidP="00FC370C">
    <w:pPr>
      <w:pStyle w:val="Header"/>
      <w:jc w:val="center"/>
      <w:rPr>
        <w:b/>
        <w:u w:val="single"/>
        <w:lang w:val="fr-FR"/>
      </w:rPr>
    </w:pPr>
  </w:p>
  <w:p w14:paraId="114DF2F8" w14:textId="77777777" w:rsidR="00303B41" w:rsidRPr="00DB4D3E" w:rsidRDefault="00A656BD" w:rsidP="00FC370C">
    <w:pPr>
      <w:pStyle w:val="Header"/>
      <w:jc w:val="center"/>
      <w:rPr>
        <w:b/>
        <w:u w:val="single"/>
        <w:lang w:val="fr-FR"/>
      </w:rPr>
    </w:pPr>
    <w:r w:rsidRPr="00DB4D3E">
      <w:rPr>
        <w:b/>
        <w:u w:val="single"/>
        <w:lang w:val="fr-FR"/>
      </w:rPr>
      <w:t>I.4</w:t>
    </w:r>
    <w:r w:rsidR="00303B41" w:rsidRPr="00DB4D3E">
      <w:rPr>
        <w:b/>
        <w:u w:val="single"/>
        <w:lang w:val="fr-FR"/>
      </w:rPr>
      <w:t xml:space="preserve"> </w:t>
    </w:r>
    <w:r w:rsidR="00F2767F" w:rsidRPr="00DB4D3E">
      <w:rPr>
        <w:b/>
        <w:u w:val="single"/>
        <w:lang w:val="fr-FR"/>
      </w:rPr>
      <w:t>ASSURANCES</w:t>
    </w:r>
  </w:p>
  <w:p w14:paraId="766EC445" w14:textId="3715E55D" w:rsidR="004A0FCD" w:rsidRPr="00327AD0" w:rsidRDefault="0067172C" w:rsidP="00327AD0">
    <w:pPr>
      <w:pStyle w:val="Header"/>
      <w:jc w:val="center"/>
      <w:rPr>
        <w:b/>
      </w:rPr>
    </w:pPr>
    <w:r>
      <w:rPr>
        <w:b/>
        <w:noProof/>
        <w:sz w:val="20"/>
      </w:rPr>
      <mc:AlternateContent>
        <mc:Choice Requires="wps">
          <w:drawing>
            <wp:anchor distT="0" distB="0" distL="114300" distR="114300" simplePos="0" relativeHeight="251657728" behindDoc="1" locked="0" layoutInCell="1" allowOverlap="1" wp14:anchorId="2B58AD51" wp14:editId="5D8449F3">
              <wp:simplePos x="0" y="0"/>
              <wp:positionH relativeFrom="column">
                <wp:posOffset>-628650</wp:posOffset>
              </wp:positionH>
              <wp:positionV relativeFrom="paragraph">
                <wp:posOffset>2571750</wp:posOffset>
              </wp:positionV>
              <wp:extent cx="6743700" cy="4000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00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DD179" w14:textId="77777777" w:rsidR="009A123F" w:rsidRDefault="009A123F">
                          <w:pPr>
                            <w:rPr>
                              <w:sz w:val="3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8AD51" id="_x0000_t202" coordsize="21600,21600" o:spt="202" path="m,l,21600r21600,l21600,xe">
              <v:stroke joinstyle="miter"/>
              <v:path gradientshapeok="t" o:connecttype="rect"/>
            </v:shapetype>
            <v:shape id="Text Box 1" o:spid="_x0000_s1026" type="#_x0000_t202" style="position:absolute;left:0;text-align:left;margin-left:-49.5pt;margin-top:202.5pt;width:531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" filled="f" stroked="f">
              <v:textbox>
                <w:txbxContent>
                  <w:p w14:paraId="03FDD179" w14:textId="77777777" w:rsidR="009A123F" w:rsidRDefault="009A123F">
                    <w:pPr>
                      <w:rPr>
                        <w:sz w:val="30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26F"/>
    <w:multiLevelType w:val="hybridMultilevel"/>
    <w:tmpl w:val="4426D18A"/>
    <w:lvl w:ilvl="0" w:tplc="4B683E4C">
      <w:start w:val="1"/>
      <w:numFmt w:val="decimal"/>
      <w:lvlText w:val="(%1)"/>
      <w:lvlJc w:val="left"/>
      <w:pPr>
        <w:tabs>
          <w:tab w:val="num" w:pos="4005"/>
        </w:tabs>
        <w:ind w:left="4005" w:hanging="405"/>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 w15:restartNumberingAfterBreak="0">
    <w:nsid w:val="0595557E"/>
    <w:multiLevelType w:val="hybridMultilevel"/>
    <w:tmpl w:val="E1FE7F3E"/>
    <w:lvl w:ilvl="0" w:tplc="0409000F">
      <w:start w:val="16"/>
      <w:numFmt w:val="decimal"/>
      <w:lvlText w:val="%1."/>
      <w:lvlJc w:val="left"/>
      <w:pPr>
        <w:tabs>
          <w:tab w:val="num" w:pos="720"/>
        </w:tabs>
        <w:ind w:left="720" w:hanging="360"/>
      </w:pPr>
      <w:rPr>
        <w:rFonts w:hint="default"/>
        <w:b w:val="0"/>
      </w:rPr>
    </w:lvl>
    <w:lvl w:ilvl="1" w:tplc="F47606B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B343F5"/>
    <w:multiLevelType w:val="hybridMultilevel"/>
    <w:tmpl w:val="9D8C87D4"/>
    <w:lvl w:ilvl="0" w:tplc="4B30EE8C">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0D603F49"/>
    <w:multiLevelType w:val="hybridMultilevel"/>
    <w:tmpl w:val="428A36C2"/>
    <w:lvl w:ilvl="0" w:tplc="C58E8B5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E364EF5"/>
    <w:multiLevelType w:val="hybridMultilevel"/>
    <w:tmpl w:val="9214B4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472675"/>
    <w:multiLevelType w:val="hybridMultilevel"/>
    <w:tmpl w:val="09E2827E"/>
    <w:lvl w:ilvl="0" w:tplc="46A23F0E">
      <w:start w:val="1"/>
      <w:numFmt w:val="decimal"/>
      <w:lvlText w:val="(%1)"/>
      <w:lvlJc w:val="left"/>
      <w:pPr>
        <w:tabs>
          <w:tab w:val="num" w:pos="1800"/>
        </w:tabs>
        <w:ind w:left="1800" w:hanging="360"/>
      </w:pPr>
      <w:rPr>
        <w:rFonts w:hint="default"/>
        <w:i w:val="0"/>
      </w:rPr>
    </w:lvl>
    <w:lvl w:ilvl="1" w:tplc="AE28E956">
      <w:start w:val="14"/>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2B556D2"/>
    <w:multiLevelType w:val="hybridMultilevel"/>
    <w:tmpl w:val="B4024F6C"/>
    <w:lvl w:ilvl="0" w:tplc="7F405314">
      <w:start w:val="1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1A816EDC"/>
    <w:multiLevelType w:val="hybridMultilevel"/>
    <w:tmpl w:val="4E4E7754"/>
    <w:lvl w:ilvl="0" w:tplc="CB88A624">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F2320F6"/>
    <w:multiLevelType w:val="hybridMultilevel"/>
    <w:tmpl w:val="AE0C7D04"/>
    <w:lvl w:ilvl="0" w:tplc="D8B29E70">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311D734C"/>
    <w:multiLevelType w:val="hybridMultilevel"/>
    <w:tmpl w:val="DC8EB69E"/>
    <w:lvl w:ilvl="0" w:tplc="6D26AD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15:restartNumberingAfterBreak="0">
    <w:nsid w:val="3DD25473"/>
    <w:multiLevelType w:val="hybridMultilevel"/>
    <w:tmpl w:val="7EC25E54"/>
    <w:lvl w:ilvl="0" w:tplc="21144FEC">
      <w:start w:val="1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3F5A1ADB"/>
    <w:multiLevelType w:val="hybridMultilevel"/>
    <w:tmpl w:val="00785B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493C0D"/>
    <w:multiLevelType w:val="hybridMultilevel"/>
    <w:tmpl w:val="081C63C0"/>
    <w:lvl w:ilvl="0" w:tplc="577CA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8D3619"/>
    <w:multiLevelType w:val="hybridMultilevel"/>
    <w:tmpl w:val="283A8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51B40"/>
    <w:multiLevelType w:val="hybridMultilevel"/>
    <w:tmpl w:val="A1AA6EE4"/>
    <w:lvl w:ilvl="0" w:tplc="D0222214">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54E46904"/>
    <w:multiLevelType w:val="hybridMultilevel"/>
    <w:tmpl w:val="04082A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BC084D"/>
    <w:multiLevelType w:val="hybridMultilevel"/>
    <w:tmpl w:val="4BD0F4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F5537E"/>
    <w:multiLevelType w:val="multilevel"/>
    <w:tmpl w:val="B602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8C29CC"/>
    <w:multiLevelType w:val="hybridMultilevel"/>
    <w:tmpl w:val="6B52A100"/>
    <w:lvl w:ilvl="0" w:tplc="520E73AE">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62A069AF"/>
    <w:multiLevelType w:val="hybridMultilevel"/>
    <w:tmpl w:val="AEE873AC"/>
    <w:lvl w:ilvl="0" w:tplc="9634D660">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0" w15:restartNumberingAfterBreak="0">
    <w:nsid w:val="69385100"/>
    <w:multiLevelType w:val="hybridMultilevel"/>
    <w:tmpl w:val="58F4F516"/>
    <w:lvl w:ilvl="0" w:tplc="577CA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5E0F5A"/>
    <w:multiLevelType w:val="hybridMultilevel"/>
    <w:tmpl w:val="38A8E49E"/>
    <w:lvl w:ilvl="0" w:tplc="243A44F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70386CF2"/>
    <w:multiLevelType w:val="hybridMultilevel"/>
    <w:tmpl w:val="06F078F6"/>
    <w:lvl w:ilvl="0" w:tplc="906AC622">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03C7D36"/>
    <w:multiLevelType w:val="hybridMultilevel"/>
    <w:tmpl w:val="82D23CCC"/>
    <w:lvl w:ilvl="0" w:tplc="B432510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9756866">
    <w:abstractNumId w:val="22"/>
  </w:num>
  <w:num w:numId="2" w16cid:durableId="217329635">
    <w:abstractNumId w:val="19"/>
  </w:num>
  <w:num w:numId="3" w16cid:durableId="1911385821">
    <w:abstractNumId w:val="1"/>
  </w:num>
  <w:num w:numId="4" w16cid:durableId="511650331">
    <w:abstractNumId w:val="5"/>
  </w:num>
  <w:num w:numId="5" w16cid:durableId="1224565984">
    <w:abstractNumId w:val="18"/>
  </w:num>
  <w:num w:numId="6" w16cid:durableId="931399171">
    <w:abstractNumId w:val="0"/>
  </w:num>
  <w:num w:numId="7" w16cid:durableId="274480055">
    <w:abstractNumId w:val="7"/>
  </w:num>
  <w:num w:numId="8" w16cid:durableId="1160773957">
    <w:abstractNumId w:val="8"/>
  </w:num>
  <w:num w:numId="9" w16cid:durableId="390730755">
    <w:abstractNumId w:val="14"/>
  </w:num>
  <w:num w:numId="10" w16cid:durableId="1812020619">
    <w:abstractNumId w:val="6"/>
  </w:num>
  <w:num w:numId="11" w16cid:durableId="1706177495">
    <w:abstractNumId w:val="10"/>
  </w:num>
  <w:num w:numId="12" w16cid:durableId="1273056729">
    <w:abstractNumId w:val="21"/>
  </w:num>
  <w:num w:numId="13" w16cid:durableId="1013262346">
    <w:abstractNumId w:val="3"/>
  </w:num>
  <w:num w:numId="14" w16cid:durableId="1488396609">
    <w:abstractNumId w:val="2"/>
  </w:num>
  <w:num w:numId="15" w16cid:durableId="1501264310">
    <w:abstractNumId w:val="9"/>
  </w:num>
  <w:num w:numId="16" w16cid:durableId="495070090">
    <w:abstractNumId w:val="17"/>
  </w:num>
  <w:num w:numId="17" w16cid:durableId="1989094792">
    <w:abstractNumId w:val="4"/>
  </w:num>
  <w:num w:numId="18" w16cid:durableId="123278204">
    <w:abstractNumId w:val="11"/>
  </w:num>
  <w:num w:numId="19" w16cid:durableId="1498964228">
    <w:abstractNumId w:val="15"/>
  </w:num>
  <w:num w:numId="20" w16cid:durableId="876357226">
    <w:abstractNumId w:val="13"/>
  </w:num>
  <w:num w:numId="21" w16cid:durableId="1922710414">
    <w:abstractNumId w:val="16"/>
  </w:num>
  <w:num w:numId="22" w16cid:durableId="368652375">
    <w:abstractNumId w:val="20"/>
  </w:num>
  <w:num w:numId="23" w16cid:durableId="1371996665">
    <w:abstractNumId w:val="23"/>
  </w:num>
  <w:num w:numId="24" w16cid:durableId="8100561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56"/>
    <w:rsid w:val="000133F5"/>
    <w:rsid w:val="00046F73"/>
    <w:rsid w:val="00051A4F"/>
    <w:rsid w:val="00071E00"/>
    <w:rsid w:val="00087A33"/>
    <w:rsid w:val="000D627B"/>
    <w:rsid w:val="000D7808"/>
    <w:rsid w:val="000E527E"/>
    <w:rsid w:val="000E7D4E"/>
    <w:rsid w:val="00117CE4"/>
    <w:rsid w:val="001213E2"/>
    <w:rsid w:val="001214B9"/>
    <w:rsid w:val="0012343D"/>
    <w:rsid w:val="001503C5"/>
    <w:rsid w:val="00153A1D"/>
    <w:rsid w:val="00160F51"/>
    <w:rsid w:val="001613E6"/>
    <w:rsid w:val="00162226"/>
    <w:rsid w:val="001812E3"/>
    <w:rsid w:val="001943EB"/>
    <w:rsid w:val="001C0DBA"/>
    <w:rsid w:val="001D2F89"/>
    <w:rsid w:val="001E4B6F"/>
    <w:rsid w:val="001E647A"/>
    <w:rsid w:val="001F00BB"/>
    <w:rsid w:val="001F3EB9"/>
    <w:rsid w:val="00207870"/>
    <w:rsid w:val="00231CC7"/>
    <w:rsid w:val="00253F05"/>
    <w:rsid w:val="00271EA3"/>
    <w:rsid w:val="00272740"/>
    <w:rsid w:val="00277203"/>
    <w:rsid w:val="00277E2D"/>
    <w:rsid w:val="0028771D"/>
    <w:rsid w:val="002A0B35"/>
    <w:rsid w:val="002B121A"/>
    <w:rsid w:val="002B55C3"/>
    <w:rsid w:val="002D0F4A"/>
    <w:rsid w:val="002E439A"/>
    <w:rsid w:val="002E71EE"/>
    <w:rsid w:val="002F1AE0"/>
    <w:rsid w:val="002F1B11"/>
    <w:rsid w:val="002F2DC4"/>
    <w:rsid w:val="00303B41"/>
    <w:rsid w:val="003061AD"/>
    <w:rsid w:val="00311F4B"/>
    <w:rsid w:val="003135F9"/>
    <w:rsid w:val="00314417"/>
    <w:rsid w:val="00315F0A"/>
    <w:rsid w:val="00327AD0"/>
    <w:rsid w:val="00382EC5"/>
    <w:rsid w:val="00384884"/>
    <w:rsid w:val="00385251"/>
    <w:rsid w:val="00392A25"/>
    <w:rsid w:val="003A304E"/>
    <w:rsid w:val="003A31F6"/>
    <w:rsid w:val="003A474C"/>
    <w:rsid w:val="003A4967"/>
    <w:rsid w:val="003B3B47"/>
    <w:rsid w:val="003C0386"/>
    <w:rsid w:val="003D78B2"/>
    <w:rsid w:val="003E0EA5"/>
    <w:rsid w:val="004170AE"/>
    <w:rsid w:val="00417669"/>
    <w:rsid w:val="004414BB"/>
    <w:rsid w:val="00445DBA"/>
    <w:rsid w:val="00450AA7"/>
    <w:rsid w:val="004546B0"/>
    <w:rsid w:val="00461CD7"/>
    <w:rsid w:val="00463D2C"/>
    <w:rsid w:val="00473BE0"/>
    <w:rsid w:val="00473D27"/>
    <w:rsid w:val="004745F6"/>
    <w:rsid w:val="00481A4E"/>
    <w:rsid w:val="00485EED"/>
    <w:rsid w:val="00492367"/>
    <w:rsid w:val="004A0FCD"/>
    <w:rsid w:val="004B4BF1"/>
    <w:rsid w:val="004D6C16"/>
    <w:rsid w:val="004E0304"/>
    <w:rsid w:val="00501E29"/>
    <w:rsid w:val="005039B3"/>
    <w:rsid w:val="00505615"/>
    <w:rsid w:val="00513847"/>
    <w:rsid w:val="005318FA"/>
    <w:rsid w:val="00545E11"/>
    <w:rsid w:val="00546249"/>
    <w:rsid w:val="0055672C"/>
    <w:rsid w:val="0057077F"/>
    <w:rsid w:val="005849CA"/>
    <w:rsid w:val="00584F11"/>
    <w:rsid w:val="00590061"/>
    <w:rsid w:val="005A2FDB"/>
    <w:rsid w:val="00611AE6"/>
    <w:rsid w:val="00617D81"/>
    <w:rsid w:val="00627AEF"/>
    <w:rsid w:val="006328B5"/>
    <w:rsid w:val="00640A80"/>
    <w:rsid w:val="0067172C"/>
    <w:rsid w:val="0067512E"/>
    <w:rsid w:val="00691DC9"/>
    <w:rsid w:val="006A7089"/>
    <w:rsid w:val="006C432A"/>
    <w:rsid w:val="006E55AD"/>
    <w:rsid w:val="006E59F8"/>
    <w:rsid w:val="0070296B"/>
    <w:rsid w:val="00705F1E"/>
    <w:rsid w:val="007061FB"/>
    <w:rsid w:val="0071468C"/>
    <w:rsid w:val="00716965"/>
    <w:rsid w:val="00716C27"/>
    <w:rsid w:val="00720102"/>
    <w:rsid w:val="007218F3"/>
    <w:rsid w:val="0073028D"/>
    <w:rsid w:val="0073110D"/>
    <w:rsid w:val="00736FEE"/>
    <w:rsid w:val="00750D10"/>
    <w:rsid w:val="00764439"/>
    <w:rsid w:val="007657C3"/>
    <w:rsid w:val="007729FC"/>
    <w:rsid w:val="00785902"/>
    <w:rsid w:val="00786850"/>
    <w:rsid w:val="0079791E"/>
    <w:rsid w:val="007A65C3"/>
    <w:rsid w:val="007B2CD5"/>
    <w:rsid w:val="007C443F"/>
    <w:rsid w:val="007F0D1A"/>
    <w:rsid w:val="007F60BE"/>
    <w:rsid w:val="00810C73"/>
    <w:rsid w:val="00813258"/>
    <w:rsid w:val="00843DBD"/>
    <w:rsid w:val="008553A0"/>
    <w:rsid w:val="008554DB"/>
    <w:rsid w:val="00860432"/>
    <w:rsid w:val="00861728"/>
    <w:rsid w:val="008663D0"/>
    <w:rsid w:val="008A65D5"/>
    <w:rsid w:val="008F1893"/>
    <w:rsid w:val="00902163"/>
    <w:rsid w:val="009121B0"/>
    <w:rsid w:val="00914CC6"/>
    <w:rsid w:val="00930387"/>
    <w:rsid w:val="00930B86"/>
    <w:rsid w:val="009434C0"/>
    <w:rsid w:val="0095316F"/>
    <w:rsid w:val="00962E53"/>
    <w:rsid w:val="0096531A"/>
    <w:rsid w:val="00976D29"/>
    <w:rsid w:val="00990C0D"/>
    <w:rsid w:val="009A123F"/>
    <w:rsid w:val="009B4BA1"/>
    <w:rsid w:val="009C4AA8"/>
    <w:rsid w:val="009C73EA"/>
    <w:rsid w:val="009E3EF5"/>
    <w:rsid w:val="009F1839"/>
    <w:rsid w:val="009F7AF4"/>
    <w:rsid w:val="00A02B19"/>
    <w:rsid w:val="00A14C5D"/>
    <w:rsid w:val="00A1736B"/>
    <w:rsid w:val="00A214A8"/>
    <w:rsid w:val="00A2333C"/>
    <w:rsid w:val="00A31DAB"/>
    <w:rsid w:val="00A36134"/>
    <w:rsid w:val="00A5063B"/>
    <w:rsid w:val="00A52955"/>
    <w:rsid w:val="00A656BD"/>
    <w:rsid w:val="00A65A53"/>
    <w:rsid w:val="00A65AB8"/>
    <w:rsid w:val="00A75076"/>
    <w:rsid w:val="00AA423D"/>
    <w:rsid w:val="00AA6AD6"/>
    <w:rsid w:val="00AA7A18"/>
    <w:rsid w:val="00AC3A7A"/>
    <w:rsid w:val="00AE2E41"/>
    <w:rsid w:val="00B20F70"/>
    <w:rsid w:val="00B82E02"/>
    <w:rsid w:val="00B9443D"/>
    <w:rsid w:val="00B94849"/>
    <w:rsid w:val="00B96BC8"/>
    <w:rsid w:val="00BB1647"/>
    <w:rsid w:val="00BB7F01"/>
    <w:rsid w:val="00BE78E2"/>
    <w:rsid w:val="00BF18E2"/>
    <w:rsid w:val="00C05472"/>
    <w:rsid w:val="00C0748A"/>
    <w:rsid w:val="00C13B35"/>
    <w:rsid w:val="00C2665D"/>
    <w:rsid w:val="00C432DC"/>
    <w:rsid w:val="00C478B5"/>
    <w:rsid w:val="00C50EDE"/>
    <w:rsid w:val="00C535A9"/>
    <w:rsid w:val="00C55010"/>
    <w:rsid w:val="00C570B4"/>
    <w:rsid w:val="00C71F18"/>
    <w:rsid w:val="00C875A1"/>
    <w:rsid w:val="00CC733A"/>
    <w:rsid w:val="00D00EF2"/>
    <w:rsid w:val="00D06D20"/>
    <w:rsid w:val="00D23AFB"/>
    <w:rsid w:val="00D24343"/>
    <w:rsid w:val="00D30557"/>
    <w:rsid w:val="00D37027"/>
    <w:rsid w:val="00D42778"/>
    <w:rsid w:val="00D43551"/>
    <w:rsid w:val="00D82B6C"/>
    <w:rsid w:val="00DA258A"/>
    <w:rsid w:val="00DA26E8"/>
    <w:rsid w:val="00DA5CB7"/>
    <w:rsid w:val="00DB2DB0"/>
    <w:rsid w:val="00DB4D3E"/>
    <w:rsid w:val="00DB6AAE"/>
    <w:rsid w:val="00DC1F8A"/>
    <w:rsid w:val="00DD5396"/>
    <w:rsid w:val="00DD5953"/>
    <w:rsid w:val="00DD6A5A"/>
    <w:rsid w:val="00DE399B"/>
    <w:rsid w:val="00DF1A04"/>
    <w:rsid w:val="00DF3BC7"/>
    <w:rsid w:val="00DF49ED"/>
    <w:rsid w:val="00E152D9"/>
    <w:rsid w:val="00E20A96"/>
    <w:rsid w:val="00E22F34"/>
    <w:rsid w:val="00E355DA"/>
    <w:rsid w:val="00E355E6"/>
    <w:rsid w:val="00E37567"/>
    <w:rsid w:val="00E40BAC"/>
    <w:rsid w:val="00E434B3"/>
    <w:rsid w:val="00E47A25"/>
    <w:rsid w:val="00E51ECA"/>
    <w:rsid w:val="00E56F90"/>
    <w:rsid w:val="00E83F1A"/>
    <w:rsid w:val="00E85EE5"/>
    <w:rsid w:val="00ED4456"/>
    <w:rsid w:val="00ED7847"/>
    <w:rsid w:val="00F203F2"/>
    <w:rsid w:val="00F22946"/>
    <w:rsid w:val="00F2767F"/>
    <w:rsid w:val="00F425E6"/>
    <w:rsid w:val="00F43ECD"/>
    <w:rsid w:val="00F8420C"/>
    <w:rsid w:val="00F927A6"/>
    <w:rsid w:val="00F939CB"/>
    <w:rsid w:val="00F95D0A"/>
    <w:rsid w:val="00FA530D"/>
    <w:rsid w:val="00FC370C"/>
    <w:rsid w:val="00FC6393"/>
    <w:rsid w:val="00FC739F"/>
    <w:rsid w:val="00FF347C"/>
    <w:rsid w:val="00FF3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0FC09A"/>
  <w15:docId w15:val="{3122E5A9-96E9-476B-8588-9C85DE0E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right="-432"/>
      <w:jc w:val="center"/>
      <w:outlineLvl w:val="0"/>
    </w:pPr>
    <w:rPr>
      <w:rFonts w:ascii="Nimrod" w:hAnsi="Nimrod"/>
      <w:b/>
      <w:bCs/>
      <w:sz w:val="20"/>
    </w:rPr>
  </w:style>
  <w:style w:type="paragraph" w:styleId="Heading2">
    <w:name w:val="heading 2"/>
    <w:basedOn w:val="Normal"/>
    <w:next w:val="Normal"/>
    <w:qFormat/>
    <w:pPr>
      <w:keepNext/>
      <w:jc w:val="center"/>
      <w:outlineLvl w:val="1"/>
    </w:pPr>
    <w:rPr>
      <w:rFonts w:ascii="Arial" w:hAnsi="Arial" w:cs="Arial"/>
      <w:color w:val="DDDDDD"/>
      <w:sz w:val="1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Text">
    <w:name w:val="Default Text"/>
    <w:basedOn w:val="Normal"/>
    <w:pPr>
      <w:autoSpaceDE w:val="0"/>
      <w:autoSpaceDN w:val="0"/>
      <w:adjustRightInd w:val="0"/>
    </w:pPr>
  </w:style>
  <w:style w:type="paragraph" w:customStyle="1" w:styleId="BodySingle">
    <w:name w:val="Body Single"/>
    <w:basedOn w:val="Normal"/>
    <w:pPr>
      <w:autoSpaceDE w:val="0"/>
      <w:autoSpaceDN w:val="0"/>
      <w:adjustRightInd w:val="0"/>
    </w:pPr>
  </w:style>
  <w:style w:type="character" w:styleId="PageNumber">
    <w:name w:val="page number"/>
    <w:basedOn w:val="DefaultParagraphFont"/>
    <w:semiHidden/>
  </w:style>
  <w:style w:type="paragraph" w:styleId="BodyTextIndent">
    <w:name w:val="Body Text Indent"/>
    <w:basedOn w:val="Normal"/>
    <w:semiHidden/>
    <w:pPr>
      <w:spacing w:after="120"/>
      <w:ind w:left="1890"/>
      <w:jc w:val="both"/>
    </w:pPr>
    <w:rPr>
      <w:rFonts w:ascii="Arial" w:hAnsi="Arial" w:cs="Arial"/>
    </w:rPr>
  </w:style>
  <w:style w:type="paragraph" w:styleId="BodyTextIndent2">
    <w:name w:val="Body Text Indent 2"/>
    <w:basedOn w:val="Normal"/>
    <w:semiHidden/>
    <w:pPr>
      <w:spacing w:after="120"/>
      <w:ind w:left="360"/>
      <w:jc w:val="both"/>
    </w:pPr>
    <w:rPr>
      <w:rFonts w:ascii="Arial" w:hAnsi="Arial" w:cs="Arial"/>
    </w:rPr>
  </w:style>
  <w:style w:type="paragraph" w:styleId="Title">
    <w:name w:val="Title"/>
    <w:basedOn w:val="Normal"/>
    <w:qFormat/>
    <w:pPr>
      <w:ind w:left="1440" w:right="-432" w:hanging="1440"/>
      <w:jc w:val="center"/>
    </w:pPr>
    <w:rPr>
      <w:b/>
      <w:bCs/>
    </w:rPr>
  </w:style>
  <w:style w:type="paragraph" w:styleId="BodyTextIndent3">
    <w:name w:val="Body Text Indent 3"/>
    <w:basedOn w:val="Normal"/>
    <w:semiHidden/>
    <w:pPr>
      <w:tabs>
        <w:tab w:val="left" w:pos="720"/>
      </w:tabs>
      <w:ind w:right="-432" w:hanging="720"/>
      <w:jc w:val="both"/>
    </w:pPr>
    <w:rPr>
      <w:rFonts w:ascii="Nimrod" w:hAnsi="Nimrod"/>
      <w:sz w:val="20"/>
    </w:rPr>
  </w:style>
  <w:style w:type="character" w:styleId="Hyperlink">
    <w:name w:val="Hyperlink"/>
    <w:uiPriority w:val="99"/>
    <w:unhideWhenUsed/>
    <w:rsid w:val="00A65AB8"/>
    <w:rPr>
      <w:rFonts w:ascii="Verdana" w:hAnsi="Verdana" w:hint="default"/>
      <w:b w:val="0"/>
      <w:bCs w:val="0"/>
      <w:i w:val="0"/>
      <w:iCs w:val="0"/>
      <w:strike w:val="0"/>
      <w:dstrike w:val="0"/>
      <w:color w:val="0033CC"/>
      <w:sz w:val="18"/>
      <w:szCs w:val="18"/>
      <w:u w:val="none"/>
      <w:effect w:val="none"/>
    </w:rPr>
  </w:style>
  <w:style w:type="character" w:styleId="FollowedHyperlink">
    <w:name w:val="FollowedHyperlink"/>
    <w:uiPriority w:val="99"/>
    <w:semiHidden/>
    <w:unhideWhenUsed/>
    <w:rsid w:val="0070296B"/>
    <w:rPr>
      <w:color w:val="800080"/>
      <w:u w:val="single"/>
    </w:rPr>
  </w:style>
  <w:style w:type="paragraph" w:styleId="BalloonText">
    <w:name w:val="Balloon Text"/>
    <w:basedOn w:val="Normal"/>
    <w:link w:val="BalloonTextChar"/>
    <w:uiPriority w:val="99"/>
    <w:semiHidden/>
    <w:unhideWhenUsed/>
    <w:rsid w:val="00272740"/>
    <w:rPr>
      <w:rFonts w:ascii="Tahoma" w:hAnsi="Tahoma" w:cs="Tahoma"/>
      <w:sz w:val="16"/>
      <w:szCs w:val="16"/>
    </w:rPr>
  </w:style>
  <w:style w:type="character" w:customStyle="1" w:styleId="BalloonTextChar">
    <w:name w:val="Balloon Text Char"/>
    <w:link w:val="BalloonText"/>
    <w:uiPriority w:val="99"/>
    <w:semiHidden/>
    <w:rsid w:val="00272740"/>
    <w:rPr>
      <w:rFonts w:ascii="Tahoma" w:hAnsi="Tahoma" w:cs="Tahoma"/>
      <w:sz w:val="16"/>
      <w:szCs w:val="16"/>
    </w:rPr>
  </w:style>
  <w:style w:type="character" w:customStyle="1" w:styleId="FooterChar">
    <w:name w:val="Footer Char"/>
    <w:link w:val="Footer"/>
    <w:uiPriority w:val="99"/>
    <w:rsid w:val="00272740"/>
    <w:rPr>
      <w:sz w:val="24"/>
      <w:szCs w:val="24"/>
    </w:rPr>
  </w:style>
  <w:style w:type="character" w:styleId="CommentReference">
    <w:name w:val="annotation reference"/>
    <w:uiPriority w:val="99"/>
    <w:semiHidden/>
    <w:unhideWhenUsed/>
    <w:rsid w:val="001F00BB"/>
    <w:rPr>
      <w:sz w:val="16"/>
      <w:szCs w:val="16"/>
    </w:rPr>
  </w:style>
  <w:style w:type="paragraph" w:styleId="CommentText">
    <w:name w:val="annotation text"/>
    <w:basedOn w:val="Normal"/>
    <w:link w:val="CommentTextChar"/>
    <w:uiPriority w:val="99"/>
    <w:semiHidden/>
    <w:unhideWhenUsed/>
    <w:rsid w:val="001F00BB"/>
    <w:rPr>
      <w:sz w:val="20"/>
      <w:szCs w:val="20"/>
    </w:rPr>
  </w:style>
  <w:style w:type="character" w:customStyle="1" w:styleId="CommentTextChar">
    <w:name w:val="Comment Text Char"/>
    <w:basedOn w:val="DefaultParagraphFont"/>
    <w:link w:val="CommentText"/>
    <w:uiPriority w:val="99"/>
    <w:semiHidden/>
    <w:rsid w:val="001F00BB"/>
  </w:style>
  <w:style w:type="paragraph" w:styleId="CommentSubject">
    <w:name w:val="annotation subject"/>
    <w:basedOn w:val="CommentText"/>
    <w:next w:val="CommentText"/>
    <w:link w:val="CommentSubjectChar"/>
    <w:uiPriority w:val="99"/>
    <w:semiHidden/>
    <w:unhideWhenUsed/>
    <w:rsid w:val="001F00BB"/>
    <w:rPr>
      <w:b/>
      <w:bCs/>
    </w:rPr>
  </w:style>
  <w:style w:type="character" w:customStyle="1" w:styleId="CommentSubjectChar">
    <w:name w:val="Comment Subject Char"/>
    <w:link w:val="CommentSubject"/>
    <w:uiPriority w:val="99"/>
    <w:semiHidden/>
    <w:rsid w:val="001F00BB"/>
    <w:rPr>
      <w:b/>
      <w:bCs/>
    </w:rPr>
  </w:style>
  <w:style w:type="paragraph" w:styleId="NormalWeb">
    <w:name w:val="Normal (Web)"/>
    <w:basedOn w:val="Normal"/>
    <w:uiPriority w:val="99"/>
    <w:semiHidden/>
    <w:unhideWhenUsed/>
    <w:rsid w:val="00AE2E41"/>
  </w:style>
  <w:style w:type="character" w:customStyle="1" w:styleId="HeaderChar">
    <w:name w:val="Header Char"/>
    <w:link w:val="Header"/>
    <w:semiHidden/>
    <w:rsid w:val="00315F0A"/>
    <w:rPr>
      <w:sz w:val="24"/>
      <w:szCs w:val="24"/>
    </w:rPr>
  </w:style>
  <w:style w:type="paragraph" w:customStyle="1" w:styleId="Default">
    <w:name w:val="Default"/>
    <w:rsid w:val="00E40BAC"/>
    <w:pPr>
      <w:autoSpaceDE w:val="0"/>
      <w:autoSpaceDN w:val="0"/>
      <w:adjustRightInd w:val="0"/>
    </w:pPr>
    <w:rPr>
      <w:rFonts w:ascii="JGNKO H+ New Century Schlbk" w:hAnsi="JGNKO H+ New Century Schlbk" w:cs="JGNKO H+ New Century Schlbk"/>
      <w:color w:val="000000"/>
      <w:sz w:val="24"/>
      <w:szCs w:val="24"/>
    </w:rPr>
  </w:style>
  <w:style w:type="paragraph" w:customStyle="1" w:styleId="CM1">
    <w:name w:val="CM1"/>
    <w:basedOn w:val="Default"/>
    <w:next w:val="Default"/>
    <w:uiPriority w:val="99"/>
    <w:rsid w:val="00E40BAC"/>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112303">
      <w:bodyDiv w:val="1"/>
      <w:marLeft w:val="0"/>
      <w:marRight w:val="0"/>
      <w:marTop w:val="0"/>
      <w:marBottom w:val="0"/>
      <w:divBdr>
        <w:top w:val="none" w:sz="0" w:space="0" w:color="auto"/>
        <w:left w:val="none" w:sz="0" w:space="0" w:color="auto"/>
        <w:bottom w:val="none" w:sz="0" w:space="0" w:color="auto"/>
        <w:right w:val="none" w:sz="0" w:space="0" w:color="auto"/>
      </w:divBdr>
      <w:divsChild>
        <w:div w:id="1540893227">
          <w:marLeft w:val="0"/>
          <w:marRight w:val="0"/>
          <w:marTop w:val="0"/>
          <w:marBottom w:val="0"/>
          <w:divBdr>
            <w:top w:val="none" w:sz="0" w:space="0" w:color="auto"/>
            <w:left w:val="none" w:sz="0" w:space="0" w:color="auto"/>
            <w:bottom w:val="none" w:sz="0" w:space="0" w:color="auto"/>
            <w:right w:val="none" w:sz="0" w:space="0" w:color="auto"/>
          </w:divBdr>
          <w:divsChild>
            <w:div w:id="357119439">
              <w:marLeft w:val="450"/>
              <w:marRight w:val="450"/>
              <w:marTop w:val="0"/>
              <w:marBottom w:val="0"/>
              <w:divBdr>
                <w:top w:val="none" w:sz="0" w:space="0" w:color="auto"/>
                <w:left w:val="none" w:sz="0" w:space="0" w:color="auto"/>
                <w:bottom w:val="none" w:sz="0" w:space="0" w:color="auto"/>
                <w:right w:val="none" w:sz="0" w:space="0" w:color="auto"/>
              </w:divBdr>
              <w:divsChild>
                <w:div w:id="23771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5AB83-2268-4FAE-8DA0-8C431F2B0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1500</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vt:lpstr>
    </vt:vector>
  </TitlesOfParts>
  <Company>Missouri Department of Health and Senior Services</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gearhcf</dc:creator>
  <cp:lastModifiedBy>Michael Stopka</cp:lastModifiedBy>
  <cp:revision>10</cp:revision>
  <cp:lastPrinted>2012-04-20T17:14:00Z</cp:lastPrinted>
  <dcterms:created xsi:type="dcterms:W3CDTF">2023-02-01T15:19:00Z</dcterms:created>
  <dcterms:modified xsi:type="dcterms:W3CDTF">2023-02-09T23:05:00Z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812bb7845f53a71e0da15769ef8e7613f092c9db349b7435f7b549af9f41258f</vt:lpwstr>
  </property>
</Properties>
</file>